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A8529" w14:textId="522B5CDF" w:rsidR="64C151FB" w:rsidRDefault="64C151FB" w:rsidP="72C24F92">
      <w:pPr>
        <w:spacing w:before="240" w:after="240" w:line="240" w:lineRule="auto"/>
        <w:jc w:val="center"/>
        <w:rPr>
          <w:rFonts w:ascii="Garamond" w:eastAsia="Garamond" w:hAnsi="Garamond" w:cs="Garamond"/>
          <w:color w:val="000000" w:themeColor="text1"/>
        </w:rPr>
      </w:pPr>
      <w:r>
        <w:rPr>
          <w:noProof/>
        </w:rPr>
        <w:drawing>
          <wp:inline distT="0" distB="0" distL="0" distR="0" wp14:anchorId="467B3642" wp14:editId="2ABD6996">
            <wp:extent cx="1543050" cy="1238250"/>
            <wp:effectExtent l="0" t="0" r="0" b="0"/>
            <wp:docPr id="697505296" name="Picture 69750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543050" cy="1238250"/>
                    </a:xfrm>
                    <a:prstGeom prst="rect">
                      <a:avLst/>
                    </a:prstGeom>
                  </pic:spPr>
                </pic:pic>
              </a:graphicData>
            </a:graphic>
          </wp:inline>
        </w:drawing>
      </w:r>
    </w:p>
    <w:p w14:paraId="4467BAD3" w14:textId="57E332F7" w:rsidR="64C151FB" w:rsidRDefault="64C151FB" w:rsidP="72C24F92">
      <w:pPr>
        <w:spacing w:before="240" w:after="240" w:line="240" w:lineRule="auto"/>
        <w:jc w:val="center"/>
        <w:rPr>
          <w:rFonts w:ascii="Garamond" w:eastAsia="Garamond" w:hAnsi="Garamond" w:cs="Garamond"/>
          <w:b/>
          <w:bCs/>
        </w:rPr>
      </w:pPr>
      <w:r w:rsidRPr="72C24F92">
        <w:rPr>
          <w:rFonts w:ascii="Garamond" w:eastAsia="Garamond" w:hAnsi="Garamond" w:cs="Garamond"/>
          <w:b/>
          <w:bCs/>
        </w:rPr>
        <w:t xml:space="preserve">MEMORANDUM ON THE CONSTITUTION OF KENYA </w:t>
      </w:r>
      <w:r w:rsidR="65A3C8FF" w:rsidRPr="72C24F92">
        <w:rPr>
          <w:rFonts w:ascii="Garamond" w:eastAsia="Garamond" w:hAnsi="Garamond" w:cs="Garamond"/>
          <w:b/>
          <w:bCs/>
        </w:rPr>
        <w:t>AMENDMENT BILL 2022</w:t>
      </w:r>
    </w:p>
    <w:p w14:paraId="40E5A264" w14:textId="6807048C" w:rsidR="64C151FB" w:rsidRDefault="64C151FB" w:rsidP="72C24F92">
      <w:pPr>
        <w:spacing w:before="240" w:after="240" w:line="240" w:lineRule="auto"/>
        <w:jc w:val="center"/>
        <w:rPr>
          <w:rFonts w:ascii="Garamond" w:eastAsia="Garamond" w:hAnsi="Garamond" w:cs="Garamond"/>
          <w:color w:val="000000" w:themeColor="text1"/>
        </w:rPr>
      </w:pPr>
      <w:r w:rsidRPr="72C24F92">
        <w:rPr>
          <w:rFonts w:ascii="Garamond" w:eastAsia="Garamond" w:hAnsi="Garamond" w:cs="Garamond"/>
          <w:b/>
          <w:bCs/>
        </w:rPr>
        <w:t xml:space="preserve">PRESENTED TO THE SENATE SUBMITTED TO:  </w:t>
      </w:r>
    </w:p>
    <w:p w14:paraId="1E982CFB" w14:textId="6843327D" w:rsidR="64C151FB" w:rsidRDefault="64C151FB" w:rsidP="72C24F92">
      <w:pPr>
        <w:spacing w:before="240" w:after="240" w:line="240" w:lineRule="auto"/>
        <w:jc w:val="center"/>
        <w:rPr>
          <w:rFonts w:ascii="Garamond" w:eastAsia="Garamond" w:hAnsi="Garamond" w:cs="Garamond"/>
          <w:color w:val="000000" w:themeColor="text1"/>
        </w:rPr>
      </w:pPr>
      <w:r w:rsidRPr="72C24F92">
        <w:rPr>
          <w:rFonts w:ascii="Garamond" w:eastAsia="Garamond" w:hAnsi="Garamond" w:cs="Garamond"/>
          <w:b/>
          <w:bCs/>
        </w:rPr>
        <w:t xml:space="preserve">CLERK OF THE SENATE </w:t>
      </w:r>
    </w:p>
    <w:p w14:paraId="2FD79FCD" w14:textId="597CD51A" w:rsidR="64C151FB" w:rsidRDefault="64C151FB" w:rsidP="72C24F92">
      <w:pPr>
        <w:spacing w:before="240" w:after="240" w:line="240" w:lineRule="auto"/>
        <w:jc w:val="center"/>
        <w:rPr>
          <w:rFonts w:ascii="Garamond" w:eastAsia="Garamond" w:hAnsi="Garamond" w:cs="Garamond"/>
          <w:color w:val="000000" w:themeColor="text1"/>
        </w:rPr>
      </w:pPr>
      <w:r w:rsidRPr="72C24F92">
        <w:rPr>
          <w:rFonts w:ascii="Garamond" w:eastAsia="Garamond" w:hAnsi="Garamond" w:cs="Garamond"/>
          <w:b/>
          <w:bCs/>
        </w:rPr>
        <w:t xml:space="preserve">PO BOX 41842-00100, NAIROBI </w:t>
      </w:r>
    </w:p>
    <w:p w14:paraId="565D9492" w14:textId="7E956E1D" w:rsidR="64C151FB" w:rsidRDefault="64C151FB" w:rsidP="72C24F92">
      <w:pPr>
        <w:spacing w:before="240" w:after="240" w:line="240" w:lineRule="auto"/>
        <w:jc w:val="center"/>
        <w:rPr>
          <w:rFonts w:ascii="Garamond" w:eastAsia="Garamond" w:hAnsi="Garamond" w:cs="Garamond"/>
        </w:rPr>
      </w:pPr>
      <w:r w:rsidRPr="72C24F92">
        <w:rPr>
          <w:rFonts w:ascii="Garamond" w:eastAsia="Garamond" w:hAnsi="Garamond" w:cs="Garamond"/>
          <w:b/>
          <w:bCs/>
        </w:rPr>
        <w:t xml:space="preserve">IN THE MATTER OF CONSIDERATION BY THE COMMITTEE ON JUSTICE, LEGAL AFFAIRS AND HUMAN RIGHTS OF THE SENATE: THE </w:t>
      </w:r>
      <w:r w:rsidR="52394234" w:rsidRPr="72C24F92">
        <w:rPr>
          <w:rFonts w:ascii="Garamond" w:eastAsia="Garamond" w:hAnsi="Garamond" w:cs="Garamond"/>
          <w:b/>
          <w:bCs/>
        </w:rPr>
        <w:t>CONSTITUTION OF KENYA AMENDMENT BILL 2022</w:t>
      </w:r>
    </w:p>
    <w:p w14:paraId="5D84D141" w14:textId="7531483C" w:rsidR="64C151FB" w:rsidRDefault="64C151FB" w:rsidP="72C24F92">
      <w:pPr>
        <w:spacing w:before="240" w:after="240" w:line="240" w:lineRule="auto"/>
        <w:jc w:val="center"/>
        <w:rPr>
          <w:rFonts w:ascii="Garamond" w:eastAsia="Garamond" w:hAnsi="Garamond" w:cs="Garamond"/>
          <w:b/>
          <w:bCs/>
        </w:rPr>
      </w:pPr>
    </w:p>
    <w:p w14:paraId="5C558322" w14:textId="5689CD61" w:rsidR="64C151FB" w:rsidRDefault="64C151FB" w:rsidP="72C24F92">
      <w:pPr>
        <w:spacing w:before="240" w:after="240" w:line="240" w:lineRule="auto"/>
        <w:jc w:val="center"/>
        <w:rPr>
          <w:rFonts w:ascii="Garamond" w:eastAsia="Garamond" w:hAnsi="Garamond" w:cs="Garamond"/>
          <w:color w:val="000000" w:themeColor="text1"/>
        </w:rPr>
      </w:pPr>
      <w:r w:rsidRPr="72C24F92">
        <w:rPr>
          <w:rFonts w:ascii="Garamond" w:eastAsia="Garamond" w:hAnsi="Garamond" w:cs="Garamond"/>
          <w:b/>
          <w:bCs/>
        </w:rPr>
        <w:t>JANUARY 2025.</w:t>
      </w:r>
    </w:p>
    <w:p w14:paraId="27416D4F" w14:textId="5EA61725" w:rsidR="5933CD29" w:rsidRDefault="5933CD29" w:rsidP="72C24F92">
      <w:pPr>
        <w:spacing w:before="240" w:after="240" w:line="240" w:lineRule="auto"/>
        <w:jc w:val="center"/>
        <w:rPr>
          <w:rFonts w:ascii="Garamond" w:eastAsia="Garamond" w:hAnsi="Garamond" w:cs="Garamond"/>
          <w:color w:val="000000" w:themeColor="text1"/>
        </w:rPr>
      </w:pPr>
    </w:p>
    <w:p w14:paraId="6C3A16DE" w14:textId="1FEBCB83" w:rsidR="64C151FB" w:rsidRDefault="64C151FB" w:rsidP="72C24F92">
      <w:pPr>
        <w:spacing w:before="240" w:after="240" w:line="240" w:lineRule="auto"/>
        <w:jc w:val="center"/>
        <w:rPr>
          <w:rFonts w:ascii="Garamond" w:eastAsia="Garamond" w:hAnsi="Garamond" w:cs="Garamond"/>
          <w:color w:val="000000" w:themeColor="text1"/>
        </w:rPr>
      </w:pPr>
      <w:r w:rsidRPr="72C24F92">
        <w:rPr>
          <w:rFonts w:ascii="Garamond" w:eastAsia="Garamond" w:hAnsi="Garamond" w:cs="Garamond"/>
          <w:b/>
          <w:bCs/>
        </w:rPr>
        <w:t xml:space="preserve">SUBMITTED BY: </w:t>
      </w:r>
    </w:p>
    <w:p w14:paraId="2F16DE8A" w14:textId="7BBD2526" w:rsidR="64C151FB" w:rsidRDefault="64C151FB" w:rsidP="72C24F92">
      <w:pPr>
        <w:spacing w:before="240" w:after="240" w:line="240" w:lineRule="auto"/>
        <w:jc w:val="center"/>
        <w:rPr>
          <w:rFonts w:ascii="Garamond" w:eastAsia="Garamond" w:hAnsi="Garamond" w:cs="Garamond"/>
          <w:b/>
          <w:bCs/>
        </w:rPr>
      </w:pPr>
      <w:r w:rsidRPr="72C24F92">
        <w:rPr>
          <w:rFonts w:ascii="Garamond" w:eastAsia="Garamond" w:hAnsi="Garamond" w:cs="Garamond"/>
          <w:b/>
          <w:bCs/>
        </w:rPr>
        <w:t xml:space="preserve">The Kenyan Section of the International Commission of Jurists </w:t>
      </w:r>
    </w:p>
    <w:p w14:paraId="3BCEC0C2" w14:textId="47D19606" w:rsidR="64C151FB" w:rsidRDefault="64C151FB" w:rsidP="72C24F92">
      <w:pPr>
        <w:spacing w:before="240" w:after="240" w:line="240" w:lineRule="auto"/>
        <w:jc w:val="center"/>
        <w:rPr>
          <w:rStyle w:val="Hyperlink"/>
          <w:rFonts w:ascii="Garamond" w:eastAsia="Garamond" w:hAnsi="Garamond" w:cs="Garamond"/>
          <w:b/>
          <w:bCs/>
          <w:color w:val="auto"/>
        </w:rPr>
      </w:pPr>
      <w:r w:rsidRPr="72C24F92">
        <w:rPr>
          <w:rFonts w:ascii="Garamond" w:eastAsia="Garamond" w:hAnsi="Garamond" w:cs="Garamond"/>
          <w:b/>
          <w:bCs/>
        </w:rPr>
        <w:t xml:space="preserve">ICJ Kenya House, Off </w:t>
      </w:r>
      <w:proofErr w:type="spellStart"/>
      <w:r w:rsidRPr="72C24F92">
        <w:rPr>
          <w:rFonts w:ascii="Garamond" w:eastAsia="Garamond" w:hAnsi="Garamond" w:cs="Garamond"/>
          <w:b/>
          <w:bCs/>
        </w:rPr>
        <w:t>Silanga</w:t>
      </w:r>
      <w:proofErr w:type="spellEnd"/>
      <w:r w:rsidRPr="72C24F92">
        <w:rPr>
          <w:rFonts w:ascii="Garamond" w:eastAsia="Garamond" w:hAnsi="Garamond" w:cs="Garamond"/>
          <w:b/>
          <w:bCs/>
        </w:rPr>
        <w:t xml:space="preserve"> Road, Karen P.O. Box 59743-00200, Nairobi, Kenya Office Tel: +254-20-2084836/8 | +254 720 491549 Email: </w:t>
      </w:r>
      <w:hyperlink r:id="rId8">
        <w:r w:rsidRPr="72C24F92">
          <w:rPr>
            <w:rStyle w:val="Hyperlink"/>
            <w:rFonts w:ascii="Garamond" w:eastAsia="Garamond" w:hAnsi="Garamond" w:cs="Garamond"/>
            <w:b/>
            <w:bCs/>
            <w:color w:val="auto"/>
          </w:rPr>
          <w:t>info@icj-kenya.org</w:t>
        </w:r>
      </w:hyperlink>
    </w:p>
    <w:p w14:paraId="18C2398F" w14:textId="07985DBB" w:rsidR="72C24F92" w:rsidRDefault="72C24F92" w:rsidP="72C24F92">
      <w:pPr>
        <w:spacing w:line="240" w:lineRule="auto"/>
        <w:jc w:val="both"/>
        <w:rPr>
          <w:rFonts w:ascii="Garamond" w:eastAsia="Garamond" w:hAnsi="Garamond" w:cs="Garamond"/>
        </w:rPr>
      </w:pPr>
    </w:p>
    <w:p w14:paraId="4047F783" w14:textId="1A7A0CE3" w:rsidR="72C24F92" w:rsidRDefault="72C24F92" w:rsidP="72C24F92">
      <w:pPr>
        <w:spacing w:before="240" w:after="240" w:line="240" w:lineRule="auto"/>
        <w:jc w:val="both"/>
        <w:rPr>
          <w:rFonts w:ascii="Garamond" w:eastAsia="Garamond" w:hAnsi="Garamond" w:cs="Garamond"/>
          <w:b/>
          <w:bCs/>
        </w:rPr>
      </w:pPr>
    </w:p>
    <w:p w14:paraId="1AF66DB0" w14:textId="1C6114BC" w:rsidR="67548846" w:rsidRDefault="67548846" w:rsidP="72C24F92">
      <w:pPr>
        <w:spacing w:before="240" w:after="240" w:line="360" w:lineRule="auto"/>
        <w:jc w:val="both"/>
        <w:rPr>
          <w:rFonts w:ascii="Garamond" w:eastAsia="Garamond" w:hAnsi="Garamond" w:cs="Garamond"/>
        </w:rPr>
      </w:pPr>
      <w:r w:rsidRPr="72C24F92">
        <w:rPr>
          <w:rFonts w:ascii="Garamond" w:eastAsia="Garamond" w:hAnsi="Garamond" w:cs="Garamond"/>
          <w:b/>
          <w:bCs/>
        </w:rPr>
        <w:t>Introduction</w:t>
      </w:r>
    </w:p>
    <w:p w14:paraId="35D7CB1A" w14:textId="5A3804B9" w:rsidR="67548846" w:rsidRDefault="67548846" w:rsidP="72C24F92">
      <w:pPr>
        <w:spacing w:before="240" w:after="240" w:line="360" w:lineRule="auto"/>
        <w:jc w:val="both"/>
        <w:rPr>
          <w:rFonts w:ascii="Garamond" w:eastAsia="Garamond" w:hAnsi="Garamond" w:cs="Garamond"/>
        </w:rPr>
      </w:pPr>
      <w:r w:rsidRPr="72C24F92">
        <w:rPr>
          <w:rFonts w:ascii="Garamond" w:eastAsia="Garamond" w:hAnsi="Garamond" w:cs="Garamond"/>
        </w:rPr>
        <w:t xml:space="preserve">The Kenyan Section of the International Commission of Jurists (ICJ Kenya) is a non-governmental, nonprofit, and member-based </w:t>
      </w:r>
      <w:proofErr w:type="spellStart"/>
      <w:r w:rsidRPr="72C24F92">
        <w:rPr>
          <w:rFonts w:ascii="Garamond" w:eastAsia="Garamond" w:hAnsi="Garamond" w:cs="Garamond"/>
        </w:rPr>
        <w:t>organisation</w:t>
      </w:r>
      <w:proofErr w:type="spellEnd"/>
      <w:r w:rsidRPr="72C24F92">
        <w:rPr>
          <w:rFonts w:ascii="Garamond" w:eastAsia="Garamond" w:hAnsi="Garamond" w:cs="Garamond"/>
        </w:rPr>
        <w:t xml:space="preserve"> whose objectives include development, protection of the rule of law, democracy, governance, promotion human rights, and safeguard of independence of the Judiciary and the legal profession. </w:t>
      </w:r>
    </w:p>
    <w:p w14:paraId="5CC3DD25" w14:textId="65A9910A" w:rsidR="67548846" w:rsidRDefault="67548846" w:rsidP="72C24F92">
      <w:pPr>
        <w:spacing w:before="240" w:after="240" w:line="360" w:lineRule="auto"/>
        <w:jc w:val="both"/>
        <w:rPr>
          <w:rFonts w:ascii="Garamond" w:eastAsia="Garamond" w:hAnsi="Garamond" w:cs="Garamond"/>
        </w:rPr>
      </w:pPr>
      <w:r w:rsidRPr="72C24F92">
        <w:rPr>
          <w:rFonts w:ascii="Garamond" w:eastAsia="Garamond" w:hAnsi="Garamond" w:cs="Garamond"/>
        </w:rPr>
        <w:lastRenderedPageBreak/>
        <w:t>ICJ Kenya has reviewed and interrogated the Constitution of Kenya (Amendment) Bill 20</w:t>
      </w:r>
      <w:r w:rsidR="447472D1" w:rsidRPr="72C24F92">
        <w:rPr>
          <w:rFonts w:ascii="Garamond" w:eastAsia="Garamond" w:hAnsi="Garamond" w:cs="Garamond"/>
        </w:rPr>
        <w:t>22</w:t>
      </w:r>
      <w:r w:rsidRPr="72C24F92">
        <w:rPr>
          <w:rFonts w:ascii="Garamond" w:eastAsia="Garamond" w:hAnsi="Garamond" w:cs="Garamond"/>
        </w:rPr>
        <w:t>. It submits this memorandum in line with its mandate.  This memorandum highlights ICJ Kenya's select views of the proposals included in the Bill.</w:t>
      </w:r>
    </w:p>
    <w:p w14:paraId="435B2DD6" w14:textId="2A9E5A1A" w:rsidR="076E7362" w:rsidRDefault="076E7362" w:rsidP="72C24F92">
      <w:pPr>
        <w:pStyle w:val="Heading3"/>
        <w:numPr>
          <w:ilvl w:val="0"/>
          <w:numId w:val="16"/>
        </w:numPr>
        <w:spacing w:before="281" w:after="281" w:line="360" w:lineRule="auto"/>
        <w:jc w:val="both"/>
        <w:rPr>
          <w:rFonts w:ascii="Garamond" w:eastAsia="Garamond" w:hAnsi="Garamond" w:cs="Garamond"/>
          <w:b/>
          <w:bCs/>
          <w:color w:val="auto"/>
        </w:rPr>
      </w:pPr>
      <w:r w:rsidRPr="72C24F92">
        <w:rPr>
          <w:rFonts w:ascii="Garamond" w:eastAsia="Garamond" w:hAnsi="Garamond" w:cs="Garamond"/>
          <w:b/>
          <w:bCs/>
          <w:color w:val="auto"/>
        </w:rPr>
        <w:t>National Government Constituencies Development Fund (NGCDF)</w:t>
      </w:r>
    </w:p>
    <w:p w14:paraId="677E80C6" w14:textId="13818D5A" w:rsidR="076E7362" w:rsidRDefault="076E7362" w:rsidP="72C24F92">
      <w:pPr>
        <w:spacing w:before="240" w:after="240" w:line="360" w:lineRule="auto"/>
        <w:jc w:val="both"/>
        <w:rPr>
          <w:rFonts w:ascii="Garamond" w:eastAsia="Garamond" w:hAnsi="Garamond" w:cs="Garamond"/>
          <w:b/>
          <w:bCs/>
        </w:rPr>
      </w:pPr>
      <w:r w:rsidRPr="72C24F92">
        <w:rPr>
          <w:rFonts w:ascii="Garamond" w:eastAsia="Garamond" w:hAnsi="Garamond" w:cs="Garamond"/>
          <w:b/>
          <w:bCs/>
        </w:rPr>
        <w:t>Proposed Deduction: 5% of the national government’s share of revenue</w:t>
      </w:r>
    </w:p>
    <w:p w14:paraId="20D84109" w14:textId="5D6ABF08" w:rsidR="076E7362" w:rsidRDefault="076E7362" w:rsidP="72C24F92">
      <w:pPr>
        <w:spacing w:before="240" w:after="240" w:line="360" w:lineRule="auto"/>
        <w:jc w:val="both"/>
        <w:rPr>
          <w:rFonts w:ascii="Garamond" w:eastAsia="Garamond" w:hAnsi="Garamond" w:cs="Garamond"/>
        </w:rPr>
      </w:pPr>
      <w:r w:rsidRPr="72C24F92">
        <w:rPr>
          <w:rFonts w:ascii="Garamond" w:eastAsia="Garamond" w:hAnsi="Garamond" w:cs="Garamond"/>
        </w:rPr>
        <w:t>The NGCDF is allocated directly to constituencies, allowing Members of Parliament (MPs) significant influence over local development projects. This allocation undermines the principles of devolution outlined in Articles 174 and 175 of the Constitution, which assign development functions to county governments. Furthermore, the Auditor-General’s reports have consistently highlighted instances of financial mismanagement in the NGCDF, including unsupported expenditures, incomplete projects, and irregular procurement processes.</w:t>
      </w:r>
    </w:p>
    <w:p w14:paraId="7007F18A" w14:textId="4BE96929" w:rsidR="4B38E942" w:rsidRDefault="4B38E942" w:rsidP="72C24F92">
      <w:pPr>
        <w:spacing w:line="360" w:lineRule="auto"/>
        <w:jc w:val="both"/>
        <w:rPr>
          <w:rFonts w:ascii="system-ui" w:eastAsia="system-ui" w:hAnsi="system-ui" w:cs="system-ui"/>
        </w:rPr>
      </w:pPr>
      <w:r w:rsidRPr="72C24F92">
        <w:rPr>
          <w:rFonts w:ascii="Garamond" w:eastAsia="Garamond" w:hAnsi="Garamond" w:cs="Garamond"/>
        </w:rPr>
        <w:t>In the year 2023/2024, the Kenya Revenue Authority (KRA) reported that it collected KES 2.407 trillion for the financial year.</w:t>
      </w:r>
      <w:r w:rsidRPr="72C24F92">
        <w:rPr>
          <w:rStyle w:val="FootnoteReference"/>
          <w:rFonts w:ascii="Garamond" w:eastAsia="Garamond" w:hAnsi="Garamond" w:cs="Garamond"/>
        </w:rPr>
        <w:footnoteReference w:id="1"/>
      </w:r>
      <w:r w:rsidRPr="72C24F92">
        <w:rPr>
          <w:rFonts w:ascii="Garamond" w:eastAsia="Garamond" w:hAnsi="Garamond" w:cs="Garamond"/>
        </w:rPr>
        <w:t xml:space="preserve"> In this context, the allocations for the National Government Constituencies Development Fund (NGCDF) were as follows: KES 57.93 billion according to one source</w:t>
      </w:r>
      <w:r w:rsidRPr="72C24F92">
        <w:rPr>
          <w:rStyle w:val="FootnoteReference"/>
          <w:rFonts w:ascii="Garamond" w:eastAsia="Garamond" w:hAnsi="Garamond" w:cs="Garamond"/>
        </w:rPr>
        <w:footnoteReference w:id="2"/>
      </w:r>
      <w:r w:rsidRPr="72C24F92">
        <w:rPr>
          <w:rFonts w:ascii="Garamond" w:eastAsia="Garamond" w:hAnsi="Garamond" w:cs="Garamond"/>
        </w:rPr>
        <w:t xml:space="preserve"> and KES 53.5 billion according to another.</w:t>
      </w:r>
      <w:r w:rsidRPr="72C24F92">
        <w:rPr>
          <w:rStyle w:val="FootnoteReference"/>
          <w:rFonts w:ascii="Garamond" w:eastAsia="Garamond" w:hAnsi="Garamond" w:cs="Garamond"/>
        </w:rPr>
        <w:footnoteReference w:id="3"/>
      </w:r>
      <w:r w:rsidRPr="72C24F92">
        <w:rPr>
          <w:rFonts w:ascii="Garamond" w:eastAsia="Garamond" w:hAnsi="Garamond" w:cs="Garamond"/>
        </w:rPr>
        <w:t xml:space="preserve"> </w:t>
      </w:r>
    </w:p>
    <w:p w14:paraId="19A18666" w14:textId="231F3F86" w:rsidR="4B38E942" w:rsidRDefault="4B38E942" w:rsidP="72C24F92">
      <w:pPr>
        <w:spacing w:line="360" w:lineRule="auto"/>
        <w:jc w:val="both"/>
        <w:rPr>
          <w:rFonts w:ascii="system-ui" w:eastAsia="system-ui" w:hAnsi="system-ui" w:cs="system-ui"/>
        </w:rPr>
      </w:pPr>
      <w:r w:rsidRPr="72C24F92">
        <w:rPr>
          <w:rFonts w:ascii="Garamond" w:eastAsia="Garamond" w:hAnsi="Garamond" w:cs="Garamond"/>
        </w:rPr>
        <w:t xml:space="preserve">Now, consider a hypothetical scenario where the government proposed to allocate 5% of its national revenue to the NGCDF. If we apply this percentage to the KES 2.407 trillion collected, the proposed allocation would amount to KES 120.35 billion. </w:t>
      </w:r>
    </w:p>
    <w:p w14:paraId="6FFB4A9C" w14:textId="32FFE050" w:rsidR="18692EB9" w:rsidRDefault="18692EB9" w:rsidP="72C24F92">
      <w:pPr>
        <w:spacing w:line="360" w:lineRule="auto"/>
        <w:jc w:val="both"/>
        <w:rPr>
          <w:rFonts w:ascii="Garamond" w:eastAsia="Garamond" w:hAnsi="Garamond" w:cs="Garamond"/>
        </w:rPr>
      </w:pPr>
      <w:r w:rsidRPr="72C24F92">
        <w:rPr>
          <w:rFonts w:ascii="Garamond" w:eastAsia="Garamond" w:hAnsi="Garamond" w:cs="Garamond"/>
          <w:color w:val="000000" w:themeColor="text1"/>
        </w:rPr>
        <w:t xml:space="preserve">There already exists a glaring issue of mismanagement stemming from conflicting reports concerning the allocation of the National Government Constituencies Development </w:t>
      </w:r>
      <w:proofErr w:type="gramStart"/>
      <w:r w:rsidRPr="72C24F92">
        <w:rPr>
          <w:rFonts w:ascii="Garamond" w:eastAsia="Garamond" w:hAnsi="Garamond" w:cs="Garamond"/>
          <w:color w:val="000000" w:themeColor="text1"/>
        </w:rPr>
        <w:t>Fund  for</w:t>
      </w:r>
      <w:proofErr w:type="gramEnd"/>
      <w:r w:rsidRPr="72C24F92">
        <w:rPr>
          <w:rFonts w:ascii="Garamond" w:eastAsia="Garamond" w:hAnsi="Garamond" w:cs="Garamond"/>
          <w:color w:val="000000" w:themeColor="text1"/>
        </w:rPr>
        <w:t xml:space="preserve"> the fiscal year 2023/2024. One report indicates that the National Treasury allocated KES 57.93 billion to the NGCDF, while another report claims the allocation was KES 53.5 billion. This inconsistency </w:t>
      </w:r>
      <w:r w:rsidR="622F3EF4" w:rsidRPr="72C24F92">
        <w:rPr>
          <w:rFonts w:ascii="Garamond" w:eastAsia="Garamond" w:hAnsi="Garamond" w:cs="Garamond"/>
          <w:color w:val="000000" w:themeColor="text1"/>
        </w:rPr>
        <w:t xml:space="preserve">already </w:t>
      </w:r>
      <w:r w:rsidRPr="72C24F92">
        <w:rPr>
          <w:rFonts w:ascii="Garamond" w:eastAsia="Garamond" w:hAnsi="Garamond" w:cs="Garamond"/>
          <w:color w:val="000000" w:themeColor="text1"/>
        </w:rPr>
        <w:t xml:space="preserve">raises serious questions regarding fiscal accountability and transparency in the government's budgeting procedures. </w:t>
      </w:r>
    </w:p>
    <w:p w14:paraId="12604422" w14:textId="3AE439A0" w:rsidR="18692EB9" w:rsidRDefault="18692EB9" w:rsidP="72C24F92">
      <w:pPr>
        <w:spacing w:line="360" w:lineRule="auto"/>
        <w:jc w:val="both"/>
        <w:rPr>
          <w:rFonts w:ascii="Garamond" w:eastAsia="Garamond" w:hAnsi="Garamond" w:cs="Garamond"/>
          <w:b/>
          <w:bCs/>
          <w:sz w:val="28"/>
          <w:szCs w:val="28"/>
        </w:rPr>
      </w:pPr>
      <w:r w:rsidRPr="72C24F92">
        <w:rPr>
          <w:rFonts w:ascii="Garamond" w:eastAsia="Garamond" w:hAnsi="Garamond" w:cs="Garamond"/>
          <w:color w:val="000000" w:themeColor="text1"/>
        </w:rPr>
        <w:lastRenderedPageBreak/>
        <w:t xml:space="preserve">The proposal to allocate such a substantial amount to the NGCDF is further complicated by the possibility of overlapping responsibilities with county governments, which are already tasked with similar development initiatives in sectors such as education, health, and infrastructure. This redundancy not only threatens the efficient utilization of resources but also hampers efforts to promote equitable development across different regions. </w:t>
      </w:r>
    </w:p>
    <w:p w14:paraId="5B5563AA" w14:textId="15E403C7" w:rsidR="076E7362" w:rsidRDefault="076E7362" w:rsidP="72C24F92">
      <w:pPr>
        <w:pStyle w:val="ListParagraph"/>
        <w:numPr>
          <w:ilvl w:val="0"/>
          <w:numId w:val="16"/>
        </w:numPr>
        <w:spacing w:line="360" w:lineRule="auto"/>
        <w:jc w:val="both"/>
        <w:rPr>
          <w:rFonts w:ascii="Garamond" w:eastAsia="Garamond" w:hAnsi="Garamond" w:cs="Garamond"/>
          <w:b/>
          <w:bCs/>
          <w:sz w:val="28"/>
          <w:szCs w:val="28"/>
        </w:rPr>
      </w:pPr>
      <w:r w:rsidRPr="72C24F92">
        <w:rPr>
          <w:rFonts w:ascii="Garamond" w:eastAsia="Garamond" w:hAnsi="Garamond" w:cs="Garamond"/>
          <w:b/>
          <w:bCs/>
          <w:sz w:val="28"/>
          <w:szCs w:val="28"/>
        </w:rPr>
        <w:t>National Government Affirmative Action Fund (NGAAF)</w:t>
      </w:r>
    </w:p>
    <w:p w14:paraId="2BB42792" w14:textId="3DB6A12A" w:rsidR="076E7362" w:rsidRDefault="076E7362" w:rsidP="72C24F92">
      <w:pPr>
        <w:spacing w:before="240" w:after="240" w:line="360" w:lineRule="auto"/>
        <w:jc w:val="both"/>
        <w:rPr>
          <w:rFonts w:ascii="Garamond" w:eastAsia="Garamond" w:hAnsi="Garamond" w:cs="Garamond"/>
          <w:b/>
          <w:bCs/>
        </w:rPr>
      </w:pPr>
      <w:r w:rsidRPr="72C24F92">
        <w:rPr>
          <w:rFonts w:ascii="Garamond" w:eastAsia="Garamond" w:hAnsi="Garamond" w:cs="Garamond"/>
          <w:b/>
          <w:bCs/>
        </w:rPr>
        <w:t>Proposed Deduction: 0.25% of the national government’s share of revenue</w:t>
      </w:r>
    </w:p>
    <w:p w14:paraId="1E7DB4AF" w14:textId="164DB196" w:rsidR="076E7362" w:rsidRDefault="076E7362" w:rsidP="72C24F92">
      <w:pPr>
        <w:spacing w:before="240" w:after="240" w:line="360" w:lineRule="auto"/>
        <w:jc w:val="both"/>
        <w:rPr>
          <w:rFonts w:ascii="Garamond" w:eastAsia="Garamond" w:hAnsi="Garamond" w:cs="Garamond"/>
        </w:rPr>
      </w:pPr>
      <w:r w:rsidRPr="72C24F92">
        <w:rPr>
          <w:rFonts w:ascii="Garamond" w:eastAsia="Garamond" w:hAnsi="Garamond" w:cs="Garamond"/>
        </w:rPr>
        <w:t xml:space="preserve">The NGAAF aims to promote affirmative action for marginalized groups. However, its structure overlaps with existing county programs and constitutional mandates under Articles 174 and 175. Allocating 0.25% of the national government’s share of revenue equates to </w:t>
      </w:r>
      <w:r w:rsidRPr="72C24F92">
        <w:rPr>
          <w:rFonts w:ascii="Garamond" w:eastAsia="Garamond" w:hAnsi="Garamond" w:cs="Garamond"/>
          <w:b/>
          <w:bCs/>
        </w:rPr>
        <w:t>KES 5 billion</w:t>
      </w:r>
      <w:r w:rsidRPr="72C24F92">
        <w:rPr>
          <w:rFonts w:ascii="Garamond" w:eastAsia="Garamond" w:hAnsi="Garamond" w:cs="Garamond"/>
        </w:rPr>
        <w:t xml:space="preserve"> if the national government’s share is </w:t>
      </w:r>
      <w:r w:rsidRPr="72C24F92">
        <w:rPr>
          <w:rFonts w:ascii="Garamond" w:eastAsia="Garamond" w:hAnsi="Garamond" w:cs="Garamond"/>
          <w:b/>
          <w:bCs/>
        </w:rPr>
        <w:t>KES 2 trillion</w:t>
      </w:r>
      <w:r w:rsidRPr="72C24F92">
        <w:rPr>
          <w:rFonts w:ascii="Garamond" w:eastAsia="Garamond" w:hAnsi="Garamond" w:cs="Garamond"/>
        </w:rPr>
        <w:t>.</w:t>
      </w:r>
    </w:p>
    <w:p w14:paraId="091F6D69" w14:textId="5177C74F" w:rsidR="72C24F92" w:rsidRPr="00E37675" w:rsidRDefault="076E7362" w:rsidP="00E37675">
      <w:pPr>
        <w:spacing w:before="240" w:after="240" w:line="360" w:lineRule="auto"/>
        <w:jc w:val="both"/>
        <w:rPr>
          <w:rFonts w:ascii="Garamond" w:eastAsia="Garamond" w:hAnsi="Garamond" w:cs="Garamond"/>
        </w:rPr>
      </w:pPr>
      <w:r w:rsidRPr="72C24F92">
        <w:rPr>
          <w:rFonts w:ascii="Garamond" w:eastAsia="Garamond" w:hAnsi="Garamond" w:cs="Garamond"/>
        </w:rPr>
        <w:t xml:space="preserve">Despite its objectives, the NGAAF’s implementation has faced accountability challenges. Reports from the Auditor-General have highlighted issues such as unclear performance metrics and inefficient fund utilization. Instead of creating parallel funds, these resources could be channeled through county governments or the </w:t>
      </w:r>
      <w:proofErr w:type="spellStart"/>
      <w:r w:rsidRPr="72C24F92">
        <w:rPr>
          <w:rFonts w:ascii="Garamond" w:eastAsia="Garamond" w:hAnsi="Garamond" w:cs="Garamond"/>
        </w:rPr>
        <w:t>Equalisation</w:t>
      </w:r>
      <w:proofErr w:type="spellEnd"/>
      <w:r w:rsidRPr="72C24F92">
        <w:rPr>
          <w:rFonts w:ascii="Garamond" w:eastAsia="Garamond" w:hAnsi="Garamond" w:cs="Garamond"/>
        </w:rPr>
        <w:t xml:space="preserve"> Fund</w:t>
      </w:r>
      <w:r w:rsidRPr="72C24F92">
        <w:rPr>
          <w:rStyle w:val="FootnoteReference"/>
          <w:rFonts w:ascii="Garamond" w:eastAsia="Garamond" w:hAnsi="Garamond" w:cs="Garamond"/>
        </w:rPr>
        <w:footnoteReference w:id="4"/>
      </w:r>
      <w:r w:rsidRPr="72C24F92">
        <w:rPr>
          <w:rFonts w:ascii="Garamond" w:eastAsia="Garamond" w:hAnsi="Garamond" w:cs="Garamond"/>
        </w:rPr>
        <w:t>, which have clearer constitutional mandates to address systemic inequalities. The allocation to NGAAF risks redundancy and inefficiency while failing to guarantee meaningful outcomes for vulnerable groups.</w:t>
      </w:r>
      <w:bookmarkStart w:id="0" w:name="_GoBack"/>
      <w:bookmarkEnd w:id="0"/>
    </w:p>
    <w:p w14:paraId="09BC09D5" w14:textId="692E56D1" w:rsidR="076E7362" w:rsidRDefault="076E7362" w:rsidP="72C24F92">
      <w:pPr>
        <w:pStyle w:val="Heading3"/>
        <w:numPr>
          <w:ilvl w:val="0"/>
          <w:numId w:val="16"/>
        </w:numPr>
        <w:spacing w:before="281" w:after="281" w:line="360" w:lineRule="auto"/>
        <w:jc w:val="both"/>
        <w:rPr>
          <w:rFonts w:ascii="Garamond" w:eastAsia="Garamond" w:hAnsi="Garamond" w:cs="Garamond"/>
          <w:b/>
          <w:bCs/>
          <w:color w:val="auto"/>
        </w:rPr>
      </w:pPr>
      <w:r w:rsidRPr="72C24F92">
        <w:rPr>
          <w:rFonts w:ascii="Garamond" w:eastAsia="Garamond" w:hAnsi="Garamond" w:cs="Garamond"/>
          <w:b/>
          <w:bCs/>
          <w:color w:val="auto"/>
        </w:rPr>
        <w:t>Senate Oversight Fund</w:t>
      </w:r>
    </w:p>
    <w:p w14:paraId="51EF3B67" w14:textId="004BB4EA" w:rsidR="076E7362" w:rsidRDefault="076E7362" w:rsidP="72C24F92">
      <w:pPr>
        <w:spacing w:before="240" w:after="240" w:line="360" w:lineRule="auto"/>
        <w:jc w:val="both"/>
        <w:rPr>
          <w:rFonts w:ascii="Garamond" w:eastAsia="Garamond" w:hAnsi="Garamond" w:cs="Garamond"/>
          <w:b/>
          <w:bCs/>
        </w:rPr>
      </w:pPr>
      <w:r w:rsidRPr="72C24F92">
        <w:rPr>
          <w:rFonts w:ascii="Garamond" w:eastAsia="Garamond" w:hAnsi="Garamond" w:cs="Garamond"/>
          <w:b/>
          <w:bCs/>
        </w:rPr>
        <w:t>Proposed Deduction: 0.001% of the national government’s share of revenue</w:t>
      </w:r>
    </w:p>
    <w:p w14:paraId="56F09FD4" w14:textId="35DA85C2" w:rsidR="076E7362" w:rsidRDefault="076E7362" w:rsidP="72C24F92">
      <w:pPr>
        <w:spacing w:before="240" w:after="240" w:line="360" w:lineRule="auto"/>
        <w:jc w:val="both"/>
        <w:rPr>
          <w:rFonts w:ascii="Garamond" w:eastAsia="Garamond" w:hAnsi="Garamond" w:cs="Garamond"/>
        </w:rPr>
      </w:pPr>
      <w:r w:rsidRPr="72C24F92">
        <w:rPr>
          <w:rFonts w:ascii="Garamond" w:eastAsia="Garamond" w:hAnsi="Garamond" w:cs="Garamond"/>
        </w:rPr>
        <w:t xml:space="preserve">The Senate Oversight Fund is designed to support senators in monitoring devolved funds at the county level. However, this allocation raises concerns about duplication and potential conflicts of interest. Senators are constitutionally mandated to provide oversight under Article 96, and introducing a </w:t>
      </w:r>
      <w:r w:rsidR="69CAF973" w:rsidRPr="72C24F92">
        <w:rPr>
          <w:rFonts w:ascii="Garamond" w:eastAsia="Garamond" w:hAnsi="Garamond" w:cs="Garamond"/>
        </w:rPr>
        <w:t>separate fund risk</w:t>
      </w:r>
      <w:r w:rsidRPr="72C24F92">
        <w:rPr>
          <w:rFonts w:ascii="Garamond" w:eastAsia="Garamond" w:hAnsi="Garamond" w:cs="Garamond"/>
        </w:rPr>
        <w:t xml:space="preserve"> politicizing oversight </w:t>
      </w:r>
      <w:proofErr w:type="gramStart"/>
      <w:r w:rsidRPr="72C24F92">
        <w:rPr>
          <w:rFonts w:ascii="Garamond" w:eastAsia="Garamond" w:hAnsi="Garamond" w:cs="Garamond"/>
        </w:rPr>
        <w:t>functions</w:t>
      </w:r>
      <w:proofErr w:type="gramEnd"/>
      <w:r w:rsidRPr="72C24F92">
        <w:rPr>
          <w:rFonts w:ascii="Garamond" w:eastAsia="Garamond" w:hAnsi="Garamond" w:cs="Garamond"/>
        </w:rPr>
        <w:t>.</w:t>
      </w:r>
    </w:p>
    <w:p w14:paraId="6F4EFA18" w14:textId="2F716160" w:rsidR="076E7362" w:rsidRDefault="076E7362" w:rsidP="72C24F92">
      <w:pPr>
        <w:spacing w:before="240" w:after="240" w:line="360" w:lineRule="auto"/>
        <w:jc w:val="both"/>
        <w:rPr>
          <w:rFonts w:ascii="Garamond" w:eastAsia="Garamond" w:hAnsi="Garamond" w:cs="Garamond"/>
        </w:rPr>
      </w:pPr>
      <w:r w:rsidRPr="72C24F92">
        <w:rPr>
          <w:rFonts w:ascii="Garamond" w:eastAsia="Garamond" w:hAnsi="Garamond" w:cs="Garamond"/>
        </w:rPr>
        <w:t xml:space="preserve">Allocating 0.001% of the national government’s share of revenue equates to </w:t>
      </w:r>
      <w:r w:rsidRPr="72C24F92">
        <w:rPr>
          <w:rFonts w:ascii="Garamond" w:eastAsia="Garamond" w:hAnsi="Garamond" w:cs="Garamond"/>
          <w:b/>
          <w:bCs/>
        </w:rPr>
        <w:t>KES 20 million</w:t>
      </w:r>
      <w:r w:rsidRPr="72C24F92">
        <w:rPr>
          <w:rFonts w:ascii="Garamond" w:eastAsia="Garamond" w:hAnsi="Garamond" w:cs="Garamond"/>
        </w:rPr>
        <w:t xml:space="preserve"> if the national government’s share is </w:t>
      </w:r>
      <w:r w:rsidRPr="72C24F92">
        <w:rPr>
          <w:rFonts w:ascii="Garamond" w:eastAsia="Garamond" w:hAnsi="Garamond" w:cs="Garamond"/>
          <w:b/>
          <w:bCs/>
        </w:rPr>
        <w:t>KES 2 trillion</w:t>
      </w:r>
      <w:r w:rsidRPr="72C24F92">
        <w:rPr>
          <w:rFonts w:ascii="Garamond" w:eastAsia="Garamond" w:hAnsi="Garamond" w:cs="Garamond"/>
        </w:rPr>
        <w:t xml:space="preserve">. While this amount is relatively small, its establishment </w:t>
      </w:r>
      <w:r w:rsidRPr="72C24F92">
        <w:rPr>
          <w:rFonts w:ascii="Garamond" w:eastAsia="Garamond" w:hAnsi="Garamond" w:cs="Garamond"/>
        </w:rPr>
        <w:lastRenderedPageBreak/>
        <w:t>creates inefficiencies by introducing unnecessary administrative costs. Rather than addressing systemic issues like transparency and capacity-building in existing institutions, the fund risks shifting the focus to politically driven initiatives, undermining equitable development and accountability.</w:t>
      </w:r>
    </w:p>
    <w:p w14:paraId="61691B41" w14:textId="1B6C9469" w:rsidR="076E7362" w:rsidRDefault="076E7362" w:rsidP="72C24F92">
      <w:pPr>
        <w:pStyle w:val="Heading3"/>
        <w:spacing w:before="281" w:after="281" w:line="360" w:lineRule="auto"/>
        <w:jc w:val="both"/>
        <w:rPr>
          <w:rFonts w:ascii="Garamond" w:eastAsia="Garamond" w:hAnsi="Garamond" w:cs="Garamond"/>
          <w:b/>
          <w:bCs/>
          <w:color w:val="auto"/>
        </w:rPr>
      </w:pPr>
      <w:r w:rsidRPr="72C24F92">
        <w:rPr>
          <w:rFonts w:ascii="Garamond" w:eastAsia="Garamond" w:hAnsi="Garamond" w:cs="Garamond"/>
          <w:b/>
          <w:bCs/>
          <w:color w:val="auto"/>
        </w:rPr>
        <w:t>Combined Impact</w:t>
      </w:r>
    </w:p>
    <w:p w14:paraId="4F880BD9" w14:textId="293879CE" w:rsidR="076E7362" w:rsidRDefault="076E7362" w:rsidP="72C24F92">
      <w:pPr>
        <w:spacing w:before="240" w:after="240" w:line="360" w:lineRule="auto"/>
        <w:jc w:val="both"/>
        <w:rPr>
          <w:rFonts w:ascii="Garamond" w:eastAsia="Garamond" w:hAnsi="Garamond" w:cs="Garamond"/>
        </w:rPr>
      </w:pPr>
      <w:r w:rsidRPr="72C24F92">
        <w:rPr>
          <w:rFonts w:ascii="Garamond" w:eastAsia="Garamond" w:hAnsi="Garamond" w:cs="Garamond"/>
        </w:rPr>
        <w:t xml:space="preserve">Together, the NGCDF, NGAAF, and Senate Oversight Fund would require </w:t>
      </w:r>
      <w:r w:rsidRPr="72C24F92">
        <w:rPr>
          <w:rFonts w:ascii="Garamond" w:eastAsia="Garamond" w:hAnsi="Garamond" w:cs="Garamond"/>
          <w:b/>
          <w:bCs/>
        </w:rPr>
        <w:t>KES 105.02 billion</w:t>
      </w:r>
      <w:r w:rsidRPr="72C24F92">
        <w:rPr>
          <w:rFonts w:ascii="Garamond" w:eastAsia="Garamond" w:hAnsi="Garamond" w:cs="Garamond"/>
        </w:rPr>
        <w:t xml:space="preserve"> annually from the national government’s share of revenue, which represents </w:t>
      </w:r>
      <w:r w:rsidRPr="72C24F92">
        <w:rPr>
          <w:rFonts w:ascii="Garamond" w:eastAsia="Garamond" w:hAnsi="Garamond" w:cs="Garamond"/>
          <w:b/>
          <w:bCs/>
        </w:rPr>
        <w:t>5.25%</w:t>
      </w:r>
      <w:r w:rsidRPr="72C24F92">
        <w:rPr>
          <w:rFonts w:ascii="Garamond" w:eastAsia="Garamond" w:hAnsi="Garamond" w:cs="Garamond"/>
        </w:rPr>
        <w:t xml:space="preserve"> of the total. This substantial allocation reduces the resources available for high-priority national and county-level initiatives.</w:t>
      </w:r>
    </w:p>
    <w:p w14:paraId="3D61E81D" w14:textId="13FE44EC" w:rsidR="076E7362" w:rsidRDefault="076E7362" w:rsidP="72C24F92">
      <w:pPr>
        <w:spacing w:before="240" w:after="240" w:line="360" w:lineRule="auto"/>
        <w:jc w:val="both"/>
        <w:rPr>
          <w:rFonts w:ascii="Garamond" w:eastAsia="Garamond" w:hAnsi="Garamond" w:cs="Garamond"/>
        </w:rPr>
      </w:pPr>
      <w:r w:rsidRPr="72C24F92">
        <w:rPr>
          <w:rFonts w:ascii="Garamond" w:eastAsia="Garamond" w:hAnsi="Garamond" w:cs="Garamond"/>
        </w:rPr>
        <w:t xml:space="preserve">Article 203(2) of the Constitution mandates that counties receive </w:t>
      </w:r>
      <w:r w:rsidRPr="72C24F92">
        <w:rPr>
          <w:rFonts w:ascii="Garamond" w:eastAsia="Garamond" w:hAnsi="Garamond" w:cs="Garamond"/>
          <w:b/>
          <w:bCs/>
        </w:rPr>
        <w:t>at least 15% of total national revenue</w:t>
      </w:r>
      <w:r w:rsidRPr="72C24F92">
        <w:rPr>
          <w:rFonts w:ascii="Garamond" w:eastAsia="Garamond" w:hAnsi="Garamond" w:cs="Garamond"/>
        </w:rPr>
        <w:t xml:space="preserve">. By creating these overlapping funds, the proposed Bill risks encroaching on this allocation, compromising counties’ ability to perform their constitutional functions efficiently. </w:t>
      </w:r>
      <w:r w:rsidR="0648F55B" w:rsidRPr="72C24F92">
        <w:rPr>
          <w:rFonts w:ascii="Garamond" w:eastAsia="Garamond" w:hAnsi="Garamond" w:cs="Garamond"/>
        </w:rPr>
        <w:t>T</w:t>
      </w:r>
      <w:r w:rsidRPr="72C24F92">
        <w:rPr>
          <w:rFonts w:ascii="Garamond" w:eastAsia="Garamond" w:hAnsi="Garamond" w:cs="Garamond"/>
        </w:rPr>
        <w:t>he proposed funds fail to address persistent accountability concerns and the equitable development of marginalized regions</w:t>
      </w:r>
      <w:r w:rsidR="7A7773BC" w:rsidRPr="72C24F92">
        <w:rPr>
          <w:rFonts w:ascii="Garamond" w:eastAsia="Garamond" w:hAnsi="Garamond" w:cs="Garamond"/>
        </w:rPr>
        <w:t>.</w:t>
      </w:r>
    </w:p>
    <w:p w14:paraId="6B3C2C7E" w14:textId="57396F83" w:rsidR="72C24F92" w:rsidRDefault="076E7362" w:rsidP="72C24F92">
      <w:pPr>
        <w:spacing w:before="240" w:after="240" w:line="360" w:lineRule="auto"/>
        <w:jc w:val="both"/>
        <w:rPr>
          <w:rFonts w:ascii="Garamond" w:eastAsia="Garamond" w:hAnsi="Garamond" w:cs="Garamond"/>
        </w:rPr>
      </w:pPr>
      <w:r w:rsidRPr="72C24F92">
        <w:rPr>
          <w:rFonts w:ascii="Garamond" w:eastAsia="Garamond" w:hAnsi="Garamond" w:cs="Garamond"/>
        </w:rPr>
        <w:t xml:space="preserve">The cumulative deductions for these funds undermine the constitutional principles of equitable resource allocation and responsible fiscal management, as outlined in Articles 201 and 202. Reforms should prioritize strengthening existing structures like the </w:t>
      </w:r>
      <w:proofErr w:type="spellStart"/>
      <w:r w:rsidRPr="72C24F92">
        <w:rPr>
          <w:rFonts w:ascii="Garamond" w:eastAsia="Garamond" w:hAnsi="Garamond" w:cs="Garamond"/>
        </w:rPr>
        <w:t>Equalisation</w:t>
      </w:r>
      <w:proofErr w:type="spellEnd"/>
      <w:r w:rsidRPr="72C24F92">
        <w:rPr>
          <w:rFonts w:ascii="Garamond" w:eastAsia="Garamond" w:hAnsi="Garamond" w:cs="Garamond"/>
        </w:rPr>
        <w:t xml:space="preserve"> Fund and county governments to ensure transparent, equitable, and efficient use of public resources.</w:t>
      </w:r>
    </w:p>
    <w:p w14:paraId="029EA35C" w14:textId="7DFFDB9B" w:rsidR="1F372D06" w:rsidRDefault="1F372D06" w:rsidP="72C24F92">
      <w:pPr>
        <w:pStyle w:val="Heading4"/>
        <w:spacing w:before="319" w:after="319" w:line="360" w:lineRule="auto"/>
        <w:jc w:val="both"/>
        <w:rPr>
          <w:rFonts w:ascii="Garamond" w:eastAsia="Garamond" w:hAnsi="Garamond" w:cs="Garamond"/>
          <w:b/>
          <w:bCs/>
          <w:i w:val="0"/>
          <w:iCs w:val="0"/>
          <w:color w:val="auto"/>
        </w:rPr>
      </w:pPr>
      <w:r w:rsidRPr="72C24F92">
        <w:rPr>
          <w:rFonts w:ascii="Garamond" w:eastAsia="Garamond" w:hAnsi="Garamond" w:cs="Garamond"/>
          <w:b/>
          <w:bCs/>
          <w:i w:val="0"/>
          <w:iCs w:val="0"/>
          <w:color w:val="auto"/>
        </w:rPr>
        <w:t>Critique</w:t>
      </w:r>
    </w:p>
    <w:p w14:paraId="3ADBC8B1" w14:textId="16DA1529" w:rsidR="474100B3" w:rsidRDefault="474100B3" w:rsidP="72C24F92">
      <w:pPr>
        <w:spacing w:line="360" w:lineRule="auto"/>
        <w:jc w:val="both"/>
        <w:rPr>
          <w:rFonts w:ascii="Garamond" w:eastAsia="Garamond" w:hAnsi="Garamond" w:cs="Garamond"/>
        </w:rPr>
      </w:pPr>
      <w:r w:rsidRPr="72C24F92">
        <w:rPr>
          <w:rFonts w:ascii="Garamond" w:eastAsia="Garamond" w:hAnsi="Garamond" w:cs="Garamond"/>
        </w:rPr>
        <w:t>The Constitution of Kenya, 2010, is the supreme law, providing a comprehensive framework for governance, including public finance management.</w:t>
      </w:r>
      <w:r w:rsidR="57BDA62E" w:rsidRPr="72C24F92">
        <w:rPr>
          <w:rFonts w:ascii="Garamond" w:eastAsia="Garamond" w:hAnsi="Garamond" w:cs="Garamond"/>
        </w:rPr>
        <w:t xml:space="preserve"> Article 10 establishes public </w:t>
      </w:r>
      <w:r w:rsidR="51B89431" w:rsidRPr="72C24F92">
        <w:rPr>
          <w:rFonts w:ascii="Garamond" w:eastAsia="Garamond" w:hAnsi="Garamond" w:cs="Garamond"/>
        </w:rPr>
        <w:t>participation</w:t>
      </w:r>
      <w:r w:rsidR="57BDA62E" w:rsidRPr="72C24F92">
        <w:rPr>
          <w:rFonts w:ascii="Garamond" w:eastAsia="Garamond" w:hAnsi="Garamond" w:cs="Garamond"/>
        </w:rPr>
        <w:t>, accountability, and transparency as fundamental national ideals, whereas Article 2(1) affirms the supremacy of the Constitution and nullifies any discordant laws. Articles 201, 202, and 203</w:t>
      </w:r>
      <w:r w:rsidRPr="72C24F92">
        <w:rPr>
          <w:rStyle w:val="FootnoteReference"/>
          <w:rFonts w:ascii="Garamond" w:eastAsia="Garamond" w:hAnsi="Garamond" w:cs="Garamond"/>
        </w:rPr>
        <w:footnoteReference w:id="5"/>
      </w:r>
      <w:r w:rsidR="57BDA62E" w:rsidRPr="72C24F92">
        <w:rPr>
          <w:rFonts w:ascii="Garamond" w:eastAsia="Garamond" w:hAnsi="Garamond" w:cs="Garamond"/>
        </w:rPr>
        <w:t xml:space="preserve"> support these ideals by requiring </w:t>
      </w:r>
      <w:r w:rsidR="03A6ECFF" w:rsidRPr="72C24F92">
        <w:rPr>
          <w:rFonts w:ascii="Garamond" w:eastAsia="Garamond" w:hAnsi="Garamond" w:cs="Garamond"/>
        </w:rPr>
        <w:t>equitable, prudent, and transparent management</w:t>
      </w:r>
      <w:r w:rsidR="57BDA62E" w:rsidRPr="72C24F92">
        <w:rPr>
          <w:rFonts w:ascii="Garamond" w:eastAsia="Garamond" w:hAnsi="Garamond" w:cs="Garamond"/>
        </w:rPr>
        <w:t xml:space="preserve"> of public funds. As a legally binding </w:t>
      </w:r>
      <w:r w:rsidR="3EC61EDC" w:rsidRPr="72C24F92">
        <w:rPr>
          <w:rFonts w:ascii="Garamond" w:eastAsia="Garamond" w:hAnsi="Garamond" w:cs="Garamond"/>
        </w:rPr>
        <w:t>instrument</w:t>
      </w:r>
      <w:r w:rsidR="57BDA62E" w:rsidRPr="72C24F92">
        <w:rPr>
          <w:rFonts w:ascii="Garamond" w:eastAsia="Garamond" w:hAnsi="Garamond" w:cs="Garamond"/>
        </w:rPr>
        <w:t xml:space="preserve"> that demands adherence to its </w:t>
      </w:r>
      <w:proofErr w:type="spellStart"/>
      <w:r w:rsidR="0A8812B9" w:rsidRPr="72C24F92">
        <w:rPr>
          <w:rFonts w:ascii="Garamond" w:eastAsia="Garamond" w:hAnsi="Garamond" w:cs="Garamond"/>
        </w:rPr>
        <w:t>provisons</w:t>
      </w:r>
      <w:proofErr w:type="spellEnd"/>
      <w:r w:rsidR="57BDA62E" w:rsidRPr="72C24F92">
        <w:rPr>
          <w:rFonts w:ascii="Garamond" w:eastAsia="Garamond" w:hAnsi="Garamond" w:cs="Garamond"/>
        </w:rPr>
        <w:t>, the Constitution is more than just an idealistic document.</w:t>
      </w:r>
    </w:p>
    <w:p w14:paraId="5EC5B0F7" w14:textId="5D51A6BB" w:rsidR="094F3CD2" w:rsidRDefault="094F3CD2" w:rsidP="72C24F92">
      <w:pPr>
        <w:spacing w:line="360" w:lineRule="auto"/>
        <w:jc w:val="both"/>
        <w:rPr>
          <w:rFonts w:ascii="Garamond" w:eastAsia="Garamond" w:hAnsi="Garamond" w:cs="Garamond"/>
        </w:rPr>
      </w:pPr>
      <w:r w:rsidRPr="72C24F92">
        <w:rPr>
          <w:rFonts w:ascii="Garamond" w:eastAsia="Garamond" w:hAnsi="Garamond" w:cs="Garamond"/>
        </w:rPr>
        <w:lastRenderedPageBreak/>
        <w:t>The need to follow these guidelines is highlighted by the decision in</w:t>
      </w:r>
      <w:r w:rsidR="7992B7D3" w:rsidRPr="72C24F92">
        <w:rPr>
          <w:rFonts w:ascii="Garamond" w:eastAsia="Garamond" w:hAnsi="Garamond" w:cs="Garamond"/>
          <w:b/>
          <w:bCs/>
        </w:rPr>
        <w:t xml:space="preserve"> </w:t>
      </w:r>
      <w:r w:rsidR="7992B7D3" w:rsidRPr="72C24F92">
        <w:rPr>
          <w:rFonts w:ascii="Garamond" w:eastAsia="Garamond" w:hAnsi="Garamond" w:cs="Garamond"/>
        </w:rPr>
        <w:t>The National Government Constituencies Development Fund (NGCDF) Act</w:t>
      </w:r>
      <w:r w:rsidRPr="72C24F92">
        <w:rPr>
          <w:rStyle w:val="FootnoteReference"/>
          <w:rFonts w:ascii="Garamond" w:eastAsia="Garamond" w:hAnsi="Garamond" w:cs="Garamond"/>
        </w:rPr>
        <w:footnoteReference w:id="6"/>
      </w:r>
      <w:r w:rsidR="7992B7D3" w:rsidRPr="72C24F92">
        <w:rPr>
          <w:rFonts w:ascii="Garamond" w:eastAsia="Garamond" w:hAnsi="Garamond" w:cs="Garamond"/>
        </w:rPr>
        <w:t xml:space="preserve"> was ruled unconstitutional because it violated the separation of powers, devolution, and public finance provisions of the constitution. The court concluded that by centralizing powers intended for devolved entities and permitting excessive influence by Members of Parliament on local development, the NGCDF violated Chapter Twelve of the Constitution</w:t>
      </w:r>
      <w:r w:rsidRPr="72C24F92">
        <w:rPr>
          <w:rStyle w:val="FootnoteReference"/>
          <w:rFonts w:ascii="Garamond" w:eastAsia="Garamond" w:hAnsi="Garamond" w:cs="Garamond"/>
        </w:rPr>
        <w:footnoteReference w:id="7"/>
      </w:r>
      <w:r w:rsidR="7992B7D3" w:rsidRPr="72C24F92">
        <w:rPr>
          <w:rFonts w:ascii="Garamond" w:eastAsia="Garamond" w:hAnsi="Garamond" w:cs="Garamond"/>
        </w:rPr>
        <w:t>, which regulates the distribution of revenue between the national and county governments. The objectives of devolution, which seek to strengthen local governing systems, were broken by this overlap of tasks, which also diminished accountability and transparency.</w:t>
      </w:r>
      <w:r w:rsidR="4AE7C5AF" w:rsidRPr="72C24F92">
        <w:rPr>
          <w:rFonts w:ascii="Garamond" w:eastAsia="Garamond" w:hAnsi="Garamond" w:cs="Garamond"/>
        </w:rPr>
        <w:t xml:space="preserve"> Additionally, in </w:t>
      </w:r>
      <w:r w:rsidR="4AE7C5AF" w:rsidRPr="72C24F92">
        <w:rPr>
          <w:rFonts w:ascii="Garamond" w:eastAsia="Garamond" w:hAnsi="Garamond" w:cs="Garamond"/>
          <w:b/>
          <w:bCs/>
        </w:rPr>
        <w:t xml:space="preserve">Adrian </w:t>
      </w:r>
      <w:proofErr w:type="spellStart"/>
      <w:r w:rsidR="4AE7C5AF" w:rsidRPr="72C24F92">
        <w:rPr>
          <w:rFonts w:ascii="Garamond" w:eastAsia="Garamond" w:hAnsi="Garamond" w:cs="Garamond"/>
          <w:b/>
          <w:bCs/>
        </w:rPr>
        <w:t>Kamotho</w:t>
      </w:r>
      <w:proofErr w:type="spellEnd"/>
      <w:r w:rsidR="4AE7C5AF" w:rsidRPr="72C24F92">
        <w:rPr>
          <w:rFonts w:ascii="Garamond" w:eastAsia="Garamond" w:hAnsi="Garamond" w:cs="Garamond"/>
          <w:b/>
          <w:bCs/>
        </w:rPr>
        <w:t xml:space="preserve"> </w:t>
      </w:r>
      <w:proofErr w:type="spellStart"/>
      <w:r w:rsidR="4AE7C5AF" w:rsidRPr="72C24F92">
        <w:rPr>
          <w:rFonts w:ascii="Garamond" w:eastAsia="Garamond" w:hAnsi="Garamond" w:cs="Garamond"/>
          <w:b/>
          <w:bCs/>
        </w:rPr>
        <w:t>Njenga</w:t>
      </w:r>
      <w:proofErr w:type="spellEnd"/>
      <w:r w:rsidR="4AE7C5AF" w:rsidRPr="72C24F92">
        <w:rPr>
          <w:rFonts w:ascii="Garamond" w:eastAsia="Garamond" w:hAnsi="Garamond" w:cs="Garamond"/>
          <w:b/>
          <w:bCs/>
        </w:rPr>
        <w:t xml:space="preserve"> v. Attorney General &amp; Others</w:t>
      </w:r>
      <w:r w:rsidRPr="72C24F92">
        <w:rPr>
          <w:rStyle w:val="FootnoteReference"/>
          <w:rFonts w:ascii="Garamond" w:eastAsia="Garamond" w:hAnsi="Garamond" w:cs="Garamond"/>
          <w:b/>
          <w:bCs/>
        </w:rPr>
        <w:footnoteReference w:id="8"/>
      </w:r>
      <w:r w:rsidR="4AE7C5AF" w:rsidRPr="72C24F92">
        <w:rPr>
          <w:rFonts w:ascii="Garamond" w:eastAsia="Garamond" w:hAnsi="Garamond" w:cs="Garamond"/>
          <w:b/>
          <w:bCs/>
        </w:rPr>
        <w:t>,</w:t>
      </w:r>
      <w:r w:rsidR="4AE7C5AF" w:rsidRPr="72C24F92">
        <w:rPr>
          <w:rFonts w:ascii="Garamond" w:eastAsia="Garamond" w:hAnsi="Garamond" w:cs="Garamond"/>
        </w:rPr>
        <w:t xml:space="preserve"> the court emphasized that the Constitution must be interpreted holistically, ensuring that every provision reinforces the broader principles of good governance and accountability.</w:t>
      </w:r>
    </w:p>
    <w:p w14:paraId="35CB8868" w14:textId="4B4FA82E" w:rsidR="49569176" w:rsidRDefault="49569176" w:rsidP="72C24F92">
      <w:pPr>
        <w:spacing w:line="360" w:lineRule="auto"/>
        <w:jc w:val="both"/>
        <w:rPr>
          <w:rFonts w:ascii="Garamond" w:eastAsia="Garamond" w:hAnsi="Garamond" w:cs="Garamond"/>
        </w:rPr>
      </w:pPr>
      <w:r w:rsidRPr="72C24F92">
        <w:rPr>
          <w:rFonts w:ascii="Garamond" w:eastAsia="Garamond" w:hAnsi="Garamond" w:cs="Garamond"/>
        </w:rPr>
        <w:t>In order to determine equitable revenue sharing, specific criteria are outlined in Article 203(1)</w:t>
      </w:r>
      <w:r w:rsidRPr="72C24F92">
        <w:rPr>
          <w:rStyle w:val="FootnoteReference"/>
          <w:rFonts w:ascii="Garamond" w:eastAsia="Garamond" w:hAnsi="Garamond" w:cs="Garamond"/>
        </w:rPr>
        <w:footnoteReference w:id="9"/>
      </w:r>
      <w:r w:rsidRPr="72C24F92">
        <w:rPr>
          <w:rFonts w:ascii="Garamond" w:eastAsia="Garamond" w:hAnsi="Garamond" w:cs="Garamond"/>
        </w:rPr>
        <w:t>. These criteria include addressing economic imbalances, promoting development in marginalized areas, and making sure counties are able to carry out their delegated tasks</w:t>
      </w:r>
      <w:r w:rsidR="638A4376" w:rsidRPr="72C24F92">
        <w:rPr>
          <w:rFonts w:ascii="Garamond" w:eastAsia="Garamond" w:hAnsi="Garamond" w:cs="Garamond"/>
        </w:rPr>
        <w:t xml:space="preserve"> and i</w:t>
      </w:r>
      <w:r w:rsidRPr="72C24F92">
        <w:rPr>
          <w:rFonts w:ascii="Garamond" w:eastAsia="Garamond" w:hAnsi="Garamond" w:cs="Garamond"/>
        </w:rPr>
        <w:t xml:space="preserve">n a conscious attempt to address past injustices and close developmental inequalities, the Equalization Fund was established by the </w:t>
      </w:r>
      <w:r w:rsidR="5FF3A2AC" w:rsidRPr="72C24F92">
        <w:rPr>
          <w:rFonts w:ascii="Garamond" w:eastAsia="Garamond" w:hAnsi="Garamond" w:cs="Garamond"/>
        </w:rPr>
        <w:t xml:space="preserve">Article 204 of the </w:t>
      </w:r>
      <w:r w:rsidRPr="72C24F92">
        <w:rPr>
          <w:rFonts w:ascii="Garamond" w:eastAsia="Garamond" w:hAnsi="Garamond" w:cs="Garamond"/>
        </w:rPr>
        <w:t>Constitution</w:t>
      </w:r>
      <w:r w:rsidRPr="72C24F92">
        <w:rPr>
          <w:rStyle w:val="FootnoteReference"/>
          <w:rFonts w:ascii="Garamond" w:eastAsia="Garamond" w:hAnsi="Garamond" w:cs="Garamond"/>
        </w:rPr>
        <w:footnoteReference w:id="10"/>
      </w:r>
      <w:r w:rsidRPr="72C24F92">
        <w:rPr>
          <w:rFonts w:ascii="Garamond" w:eastAsia="Garamond" w:hAnsi="Garamond" w:cs="Garamond"/>
        </w:rPr>
        <w:t>.</w:t>
      </w:r>
      <w:r w:rsidR="60276F3C" w:rsidRPr="72C24F92">
        <w:rPr>
          <w:rFonts w:ascii="Garamond" w:eastAsia="Garamond" w:hAnsi="Garamond" w:cs="Garamond"/>
        </w:rPr>
        <w:t xml:space="preserve"> The necessity of using resources wisely to prevent future generations from bearing the costs of careless governance is further highlighted by the</w:t>
      </w:r>
      <w:r w:rsidR="60276F3C" w:rsidRPr="72C24F92">
        <w:rPr>
          <w:rFonts w:ascii="Garamond" w:eastAsia="Garamond" w:hAnsi="Garamond" w:cs="Garamond"/>
          <w:b/>
          <w:bCs/>
        </w:rPr>
        <w:t xml:space="preserve"> intergenerational equity concept,</w:t>
      </w:r>
      <w:r w:rsidR="60276F3C" w:rsidRPr="72C24F92">
        <w:rPr>
          <w:rFonts w:ascii="Garamond" w:eastAsia="Garamond" w:hAnsi="Garamond" w:cs="Garamond"/>
        </w:rPr>
        <w:t xml:space="preserve"> which is codified in Article 201(c)</w:t>
      </w:r>
      <w:r w:rsidRPr="72C24F92">
        <w:rPr>
          <w:rStyle w:val="FootnoteReference"/>
          <w:rFonts w:ascii="Garamond" w:eastAsia="Garamond" w:hAnsi="Garamond" w:cs="Garamond"/>
        </w:rPr>
        <w:footnoteReference w:id="11"/>
      </w:r>
      <w:r w:rsidR="60276F3C" w:rsidRPr="72C24F92">
        <w:rPr>
          <w:rFonts w:ascii="Garamond" w:eastAsia="Garamond" w:hAnsi="Garamond" w:cs="Garamond"/>
        </w:rPr>
        <w:t xml:space="preserve">. </w:t>
      </w:r>
    </w:p>
    <w:p w14:paraId="7B0C6967" w14:textId="7E14143A" w:rsidR="7C6615A6" w:rsidRDefault="209DE346" w:rsidP="72C24F92">
      <w:pPr>
        <w:spacing w:line="360" w:lineRule="auto"/>
        <w:jc w:val="both"/>
        <w:rPr>
          <w:rFonts w:ascii="Garamond" w:eastAsia="Garamond" w:hAnsi="Garamond" w:cs="Garamond"/>
        </w:rPr>
      </w:pPr>
      <w:r w:rsidRPr="72C24F92">
        <w:rPr>
          <w:rFonts w:ascii="Garamond" w:eastAsia="Garamond" w:hAnsi="Garamond" w:cs="Garamond"/>
        </w:rPr>
        <w:t>Scholarly analyses, such as those by</w:t>
      </w:r>
      <w:r w:rsidRPr="72C24F92">
        <w:rPr>
          <w:rFonts w:ascii="Garamond" w:eastAsia="Garamond" w:hAnsi="Garamond" w:cs="Garamond"/>
          <w:b/>
          <w:bCs/>
        </w:rPr>
        <w:t xml:space="preserve"> </w:t>
      </w:r>
      <w:proofErr w:type="spellStart"/>
      <w:r w:rsidR="781316F9" w:rsidRPr="72C24F92">
        <w:rPr>
          <w:rFonts w:ascii="Garamond" w:eastAsia="Garamond" w:hAnsi="Garamond" w:cs="Garamond"/>
          <w:b/>
          <w:bCs/>
        </w:rPr>
        <w:t>Mutakha</w:t>
      </w:r>
      <w:proofErr w:type="spellEnd"/>
      <w:r w:rsidR="781316F9" w:rsidRPr="72C24F92">
        <w:rPr>
          <w:rFonts w:ascii="Garamond" w:eastAsia="Garamond" w:hAnsi="Garamond" w:cs="Garamond"/>
          <w:b/>
          <w:bCs/>
        </w:rPr>
        <w:t xml:space="preserve"> </w:t>
      </w:r>
      <w:proofErr w:type="spellStart"/>
      <w:r w:rsidR="781316F9" w:rsidRPr="72C24F92">
        <w:rPr>
          <w:rFonts w:ascii="Garamond" w:eastAsia="Garamond" w:hAnsi="Garamond" w:cs="Garamond"/>
          <w:b/>
          <w:bCs/>
        </w:rPr>
        <w:t>Kangu</w:t>
      </w:r>
      <w:proofErr w:type="spellEnd"/>
      <w:r w:rsidR="781316F9" w:rsidRPr="72C24F92">
        <w:rPr>
          <w:rFonts w:ascii="Garamond" w:eastAsia="Garamond" w:hAnsi="Garamond" w:cs="Garamond"/>
          <w:b/>
          <w:bCs/>
        </w:rPr>
        <w:t xml:space="preserve"> in Constitutional Law of Kenya on Devolution</w:t>
      </w:r>
      <w:r w:rsidR="7C6615A6" w:rsidRPr="72C24F92">
        <w:rPr>
          <w:rStyle w:val="FootnoteReference"/>
          <w:rFonts w:ascii="Garamond" w:eastAsia="Garamond" w:hAnsi="Garamond" w:cs="Garamond"/>
          <w:b/>
          <w:bCs/>
        </w:rPr>
        <w:footnoteReference w:id="12"/>
      </w:r>
      <w:r w:rsidR="781316F9" w:rsidRPr="72C24F92">
        <w:rPr>
          <w:rFonts w:ascii="Garamond" w:eastAsia="Garamond" w:hAnsi="Garamond" w:cs="Garamond"/>
          <w:b/>
          <w:bCs/>
        </w:rPr>
        <w:t>,</w:t>
      </w:r>
      <w:r w:rsidR="781316F9" w:rsidRPr="72C24F92">
        <w:rPr>
          <w:rFonts w:ascii="Garamond" w:eastAsia="Garamond" w:hAnsi="Garamond" w:cs="Garamond"/>
        </w:rPr>
        <w:t xml:space="preserve"> emphasize that fiscal frameworks need to address present inequalities while giving priority to long-term sustainability. </w:t>
      </w:r>
      <w:r w:rsidR="18E1F1E9" w:rsidRPr="72C24F92">
        <w:rPr>
          <w:rFonts w:ascii="Garamond" w:eastAsia="Garamond" w:hAnsi="Garamond" w:cs="Garamond"/>
          <w:b/>
          <w:bCs/>
        </w:rPr>
        <w:t xml:space="preserve">Yash </w:t>
      </w:r>
      <w:proofErr w:type="spellStart"/>
      <w:r w:rsidR="18E1F1E9" w:rsidRPr="72C24F92">
        <w:rPr>
          <w:rFonts w:ascii="Garamond" w:eastAsia="Garamond" w:hAnsi="Garamond" w:cs="Garamond"/>
          <w:b/>
          <w:bCs/>
        </w:rPr>
        <w:t>Ghai</w:t>
      </w:r>
      <w:proofErr w:type="spellEnd"/>
      <w:r w:rsidR="18E1F1E9" w:rsidRPr="72C24F92">
        <w:rPr>
          <w:rFonts w:ascii="Garamond" w:eastAsia="Garamond" w:hAnsi="Garamond" w:cs="Garamond"/>
          <w:b/>
          <w:bCs/>
        </w:rPr>
        <w:t xml:space="preserve"> and Jill Cottrell </w:t>
      </w:r>
      <w:proofErr w:type="spellStart"/>
      <w:r w:rsidR="18E1F1E9" w:rsidRPr="72C24F92">
        <w:rPr>
          <w:rFonts w:ascii="Garamond" w:eastAsia="Garamond" w:hAnsi="Garamond" w:cs="Garamond"/>
          <w:b/>
          <w:bCs/>
        </w:rPr>
        <w:t>Ghai</w:t>
      </w:r>
      <w:proofErr w:type="spellEnd"/>
      <w:r w:rsidR="18E1F1E9" w:rsidRPr="72C24F92">
        <w:rPr>
          <w:rFonts w:ascii="Garamond" w:eastAsia="Garamond" w:hAnsi="Garamond" w:cs="Garamond"/>
          <w:b/>
          <w:bCs/>
        </w:rPr>
        <w:t xml:space="preserve"> in Kenya’s Constitution: An Instrument for Change</w:t>
      </w:r>
      <w:r w:rsidR="18E1F1E9" w:rsidRPr="72C24F92">
        <w:rPr>
          <w:rFonts w:ascii="Garamond" w:eastAsia="Garamond" w:hAnsi="Garamond" w:cs="Garamond"/>
        </w:rPr>
        <w:t xml:space="preserve">, highlight that the Constitution’s provisions on public finance are not merely aspirational but are enforceable safeguards designed to prevent the misuse of public resources. Any </w:t>
      </w:r>
      <w:r w:rsidR="18E1F1E9" w:rsidRPr="72C24F92">
        <w:rPr>
          <w:rFonts w:ascii="Garamond" w:eastAsia="Garamond" w:hAnsi="Garamond" w:cs="Garamond"/>
        </w:rPr>
        <w:lastRenderedPageBreak/>
        <w:t>amendment that undermines these safeguards erodes public trust and diminishes the Constitution’s authority as a democratic instrument. Similarly,</w:t>
      </w:r>
      <w:r w:rsidR="7CB95576" w:rsidRPr="72C24F92">
        <w:rPr>
          <w:rFonts w:ascii="Garamond" w:eastAsia="Garamond" w:hAnsi="Garamond" w:cs="Garamond"/>
        </w:rPr>
        <w:t xml:space="preserve"> in his book titled "</w:t>
      </w:r>
      <w:r w:rsidR="7CB95576" w:rsidRPr="72C24F92">
        <w:rPr>
          <w:rFonts w:ascii="Garamond" w:eastAsia="Garamond" w:hAnsi="Garamond" w:cs="Garamond"/>
          <w:b/>
          <w:bCs/>
        </w:rPr>
        <w:t xml:space="preserve">Public Finance under Kenya’s New Constitution," </w:t>
      </w:r>
      <w:proofErr w:type="spellStart"/>
      <w:r w:rsidR="7CB95576" w:rsidRPr="72C24F92">
        <w:rPr>
          <w:rFonts w:ascii="Garamond" w:eastAsia="Garamond" w:hAnsi="Garamond" w:cs="Garamond"/>
          <w:b/>
          <w:bCs/>
        </w:rPr>
        <w:t>Kirira</w:t>
      </w:r>
      <w:proofErr w:type="spellEnd"/>
      <w:r w:rsidR="7CB95576" w:rsidRPr="72C24F92">
        <w:rPr>
          <w:rFonts w:ascii="Garamond" w:eastAsia="Garamond" w:hAnsi="Garamond" w:cs="Garamond"/>
          <w:b/>
          <w:bCs/>
        </w:rPr>
        <w:t xml:space="preserve"> </w:t>
      </w:r>
      <w:r w:rsidR="7CB95576" w:rsidRPr="72C24F92">
        <w:rPr>
          <w:rFonts w:ascii="Garamond" w:eastAsia="Garamond" w:hAnsi="Garamond" w:cs="Garamond"/>
        </w:rPr>
        <w:t>emphasizes that leaders must ensure that public resources are used responsibly and transparently to foster trust and accountability among citizens. This statement highlights the necessity for leaders to manage public finances with integrity and transparency to maintain public trust.</w:t>
      </w:r>
      <w:r w:rsidR="7C6615A6" w:rsidRPr="72C24F92">
        <w:rPr>
          <w:rStyle w:val="FootnoteReference"/>
          <w:rFonts w:ascii="Garamond" w:eastAsia="Garamond" w:hAnsi="Garamond" w:cs="Garamond"/>
        </w:rPr>
        <w:footnoteReference w:id="13"/>
      </w:r>
    </w:p>
    <w:p w14:paraId="15EA9167" w14:textId="335481B3" w:rsidR="7C6615A6" w:rsidRDefault="26A30FBD" w:rsidP="72C24F92">
      <w:pPr>
        <w:spacing w:line="360" w:lineRule="auto"/>
        <w:jc w:val="both"/>
        <w:rPr>
          <w:rFonts w:ascii="Garamond" w:eastAsia="Garamond" w:hAnsi="Garamond" w:cs="Garamond"/>
        </w:rPr>
      </w:pPr>
      <w:r w:rsidRPr="72C24F92">
        <w:rPr>
          <w:rFonts w:ascii="Garamond" w:eastAsia="Garamond" w:hAnsi="Garamond" w:cs="Garamond"/>
        </w:rPr>
        <w:t xml:space="preserve">Kenya has ratified a number of international instruments that promote transparency, accountability, equitable resource allocation, and </w:t>
      </w:r>
      <w:r w:rsidR="4E9A9D94" w:rsidRPr="72C24F92">
        <w:rPr>
          <w:rFonts w:ascii="Garamond" w:eastAsia="Garamond" w:hAnsi="Garamond" w:cs="Garamond"/>
        </w:rPr>
        <w:t>public participation in governance</w:t>
      </w:r>
      <w:r w:rsidRPr="72C24F92">
        <w:rPr>
          <w:rFonts w:ascii="Garamond" w:eastAsia="Garamond" w:hAnsi="Garamond" w:cs="Garamond"/>
        </w:rPr>
        <w:t xml:space="preserve">. Individuals' rights to equitable access to resources and participation in governance are emphasized in Articles </w:t>
      </w:r>
      <w:r w:rsidRPr="72C24F92">
        <w:rPr>
          <w:rFonts w:ascii="Garamond" w:eastAsia="Garamond" w:hAnsi="Garamond" w:cs="Garamond"/>
          <w:b/>
          <w:bCs/>
        </w:rPr>
        <w:t>13 and 21 of the African Charter on Human and Peoples' Rights</w:t>
      </w:r>
      <w:r w:rsidRPr="72C24F92">
        <w:rPr>
          <w:rFonts w:ascii="Garamond" w:eastAsia="Garamond" w:hAnsi="Garamond" w:cs="Garamond"/>
        </w:rPr>
        <w:t>.</w:t>
      </w:r>
      <w:r w:rsidR="7C6615A6" w:rsidRPr="72C24F92">
        <w:rPr>
          <w:rStyle w:val="FootnoteReference"/>
          <w:rFonts w:ascii="Garamond" w:eastAsia="Garamond" w:hAnsi="Garamond" w:cs="Garamond"/>
        </w:rPr>
        <w:footnoteReference w:id="14"/>
      </w:r>
      <w:r w:rsidRPr="72C24F92">
        <w:rPr>
          <w:rFonts w:ascii="Garamond" w:eastAsia="Garamond" w:hAnsi="Garamond" w:cs="Garamond"/>
        </w:rPr>
        <w:t xml:space="preserve"> These clauses emphasize the value of equity and inclusivity in the administration of public funds. Kenya is also required by the </w:t>
      </w:r>
      <w:r w:rsidRPr="72C24F92">
        <w:rPr>
          <w:rFonts w:ascii="Garamond" w:eastAsia="Garamond" w:hAnsi="Garamond" w:cs="Garamond"/>
          <w:b/>
          <w:bCs/>
        </w:rPr>
        <w:t>United Nations Convention Against Corruption (UNCAC)</w:t>
      </w:r>
      <w:r w:rsidRPr="72C24F92">
        <w:rPr>
          <w:rFonts w:ascii="Garamond" w:eastAsia="Garamond" w:hAnsi="Garamond" w:cs="Garamond"/>
        </w:rPr>
        <w:t xml:space="preserve"> to implement accountable and transparent public finance systems. To prevent corruption and resource mismanagement, </w:t>
      </w:r>
      <w:r w:rsidRPr="72C24F92">
        <w:rPr>
          <w:rFonts w:ascii="Garamond" w:eastAsia="Garamond" w:hAnsi="Garamond" w:cs="Garamond"/>
          <w:b/>
          <w:bCs/>
        </w:rPr>
        <w:t xml:space="preserve">UNCAC's Articles 5 and 9 </w:t>
      </w:r>
      <w:r w:rsidRPr="72C24F92">
        <w:rPr>
          <w:rFonts w:ascii="Garamond" w:eastAsia="Garamond" w:hAnsi="Garamond" w:cs="Garamond"/>
        </w:rPr>
        <w:t xml:space="preserve">specifically </w:t>
      </w:r>
      <w:r w:rsidR="5FA1F6CC" w:rsidRPr="72C24F92">
        <w:rPr>
          <w:rFonts w:ascii="Garamond" w:eastAsia="Garamond" w:hAnsi="Garamond" w:cs="Garamond"/>
        </w:rPr>
        <w:t>demand</w:t>
      </w:r>
      <w:r w:rsidRPr="72C24F92">
        <w:rPr>
          <w:rFonts w:ascii="Garamond" w:eastAsia="Garamond" w:hAnsi="Garamond" w:cs="Garamond"/>
        </w:rPr>
        <w:t xml:space="preserve"> </w:t>
      </w:r>
      <w:r w:rsidR="363591A8" w:rsidRPr="72C24F92">
        <w:rPr>
          <w:rFonts w:ascii="Garamond" w:eastAsia="Garamond" w:hAnsi="Garamond" w:cs="Garamond"/>
        </w:rPr>
        <w:t>robust financial oversight mechanisms and participatory processes to combat corruption and mismanagement of resources.</w:t>
      </w:r>
      <w:r w:rsidR="7C6615A6" w:rsidRPr="72C24F92">
        <w:rPr>
          <w:rStyle w:val="FootnoteReference"/>
          <w:rFonts w:ascii="Garamond" w:eastAsia="Garamond" w:hAnsi="Garamond" w:cs="Garamond"/>
        </w:rPr>
        <w:footnoteReference w:id="15"/>
      </w:r>
      <w:r w:rsidR="76D02F21" w:rsidRPr="72C24F92">
        <w:rPr>
          <w:rFonts w:ascii="Garamond" w:eastAsia="Garamond" w:hAnsi="Garamond" w:cs="Garamond"/>
        </w:rPr>
        <w:t xml:space="preserve"> </w:t>
      </w:r>
      <w:r w:rsidR="76D02F21" w:rsidRPr="72C24F92">
        <w:rPr>
          <w:rFonts w:ascii="Garamond" w:eastAsia="Garamond" w:hAnsi="Garamond" w:cs="Garamond"/>
          <w:b/>
          <w:bCs/>
        </w:rPr>
        <w:t>The International Covenant on Economic, Social, and Cultural Rights (ICESCR</w:t>
      </w:r>
      <w:r w:rsidR="76D02F21" w:rsidRPr="72C24F92">
        <w:rPr>
          <w:rFonts w:ascii="Garamond" w:eastAsia="Garamond" w:hAnsi="Garamond" w:cs="Garamond"/>
        </w:rPr>
        <w:t xml:space="preserve">), which upholds these commitments through </w:t>
      </w:r>
      <w:r w:rsidR="76D02F21" w:rsidRPr="72C24F92">
        <w:rPr>
          <w:rFonts w:ascii="Garamond" w:eastAsia="Garamond" w:hAnsi="Garamond" w:cs="Garamond"/>
          <w:b/>
          <w:bCs/>
        </w:rPr>
        <w:t>Article 2(1)</w:t>
      </w:r>
      <w:r w:rsidR="76D02F21" w:rsidRPr="72C24F92">
        <w:rPr>
          <w:rFonts w:ascii="Garamond" w:eastAsia="Garamond" w:hAnsi="Garamond" w:cs="Garamond"/>
        </w:rPr>
        <w:t xml:space="preserve">, which mandates that nations use resources fairly in order to gradually fulfill economic and social rights. </w:t>
      </w:r>
      <w:r w:rsidR="76D02F21" w:rsidRPr="72C24F92">
        <w:rPr>
          <w:rFonts w:ascii="Garamond" w:eastAsia="Garamond" w:hAnsi="Garamond" w:cs="Garamond"/>
          <w:b/>
          <w:bCs/>
        </w:rPr>
        <w:t>Article 13</w:t>
      </w:r>
      <w:r w:rsidR="76D02F21" w:rsidRPr="72C24F92">
        <w:rPr>
          <w:rFonts w:ascii="Garamond" w:eastAsia="Garamond" w:hAnsi="Garamond" w:cs="Garamond"/>
        </w:rPr>
        <w:t xml:space="preserve"> further highlights how crucial participatory governance is when making decisions that impact the distribution of resources.</w:t>
      </w:r>
      <w:r w:rsidR="7C6615A6" w:rsidRPr="72C24F92">
        <w:rPr>
          <w:rStyle w:val="FootnoteReference"/>
          <w:rFonts w:ascii="Garamond" w:eastAsia="Garamond" w:hAnsi="Garamond" w:cs="Garamond"/>
        </w:rPr>
        <w:footnoteReference w:id="16"/>
      </w:r>
      <w:r w:rsidR="76D02F21" w:rsidRPr="72C24F92">
        <w:rPr>
          <w:rFonts w:ascii="Garamond" w:eastAsia="Garamond" w:hAnsi="Garamond" w:cs="Garamond"/>
        </w:rPr>
        <w:t xml:space="preserve"> Kenya is required to build inclusive and accountable institutions and encourage participatory decision-making processes in order to fulfill its commitments under the </w:t>
      </w:r>
      <w:r w:rsidR="76D02F21" w:rsidRPr="72C24F92">
        <w:rPr>
          <w:rFonts w:ascii="Garamond" w:eastAsia="Garamond" w:hAnsi="Garamond" w:cs="Garamond"/>
          <w:b/>
          <w:bCs/>
        </w:rPr>
        <w:t>Sustainable Development Goals (SDGs)</w:t>
      </w:r>
      <w:r w:rsidR="76D02F21" w:rsidRPr="72C24F92">
        <w:rPr>
          <w:rFonts w:ascii="Garamond" w:eastAsia="Garamond" w:hAnsi="Garamond" w:cs="Garamond"/>
        </w:rPr>
        <w:t xml:space="preserve">, </w:t>
      </w:r>
      <w:r w:rsidR="5DA693E8" w:rsidRPr="72C24F92">
        <w:rPr>
          <w:rFonts w:ascii="Garamond" w:eastAsia="Garamond" w:hAnsi="Garamond" w:cs="Garamond"/>
        </w:rPr>
        <w:t>specifically</w:t>
      </w:r>
      <w:r w:rsidR="76D02F21" w:rsidRPr="72C24F92">
        <w:rPr>
          <w:rFonts w:ascii="Garamond" w:eastAsia="Garamond" w:hAnsi="Garamond" w:cs="Garamond"/>
        </w:rPr>
        <w:t xml:space="preserve"> </w:t>
      </w:r>
      <w:r w:rsidR="76D02F21" w:rsidRPr="72C24F92">
        <w:rPr>
          <w:rFonts w:ascii="Garamond" w:eastAsia="Garamond" w:hAnsi="Garamond" w:cs="Garamond"/>
          <w:b/>
          <w:bCs/>
        </w:rPr>
        <w:t>Goal 16</w:t>
      </w:r>
      <w:r w:rsidR="76D02F21" w:rsidRPr="72C24F92">
        <w:rPr>
          <w:rFonts w:ascii="Garamond" w:eastAsia="Garamond" w:hAnsi="Garamond" w:cs="Garamond"/>
        </w:rPr>
        <w:t>.</w:t>
      </w:r>
      <w:r w:rsidR="7C6615A6" w:rsidRPr="72C24F92">
        <w:rPr>
          <w:rStyle w:val="FootnoteReference"/>
          <w:rFonts w:ascii="Garamond" w:eastAsia="Garamond" w:hAnsi="Garamond" w:cs="Garamond"/>
        </w:rPr>
        <w:footnoteReference w:id="17"/>
      </w:r>
    </w:p>
    <w:p w14:paraId="40926668" w14:textId="5CB3259E" w:rsidR="7C6615A6" w:rsidRDefault="7C6615A6" w:rsidP="72C24F92">
      <w:pPr>
        <w:spacing w:line="360" w:lineRule="auto"/>
        <w:jc w:val="both"/>
        <w:rPr>
          <w:rFonts w:ascii="Garamond" w:eastAsia="Garamond" w:hAnsi="Garamond" w:cs="Garamond"/>
        </w:rPr>
      </w:pPr>
    </w:p>
    <w:p w14:paraId="0154F5F7" w14:textId="13672F19" w:rsidR="7C6615A6" w:rsidRDefault="54A94387" w:rsidP="72C24F92">
      <w:pPr>
        <w:pStyle w:val="ListParagraph"/>
        <w:numPr>
          <w:ilvl w:val="0"/>
          <w:numId w:val="21"/>
        </w:numPr>
        <w:spacing w:line="360" w:lineRule="auto"/>
        <w:jc w:val="both"/>
        <w:rPr>
          <w:rFonts w:ascii="Garamond" w:eastAsia="Garamond" w:hAnsi="Garamond" w:cs="Garamond"/>
          <w:b/>
          <w:bCs/>
        </w:rPr>
      </w:pPr>
      <w:r w:rsidRPr="72C24F92">
        <w:rPr>
          <w:rFonts w:ascii="Garamond" w:eastAsia="Garamond" w:hAnsi="Garamond" w:cs="Garamond"/>
          <w:b/>
          <w:bCs/>
        </w:rPr>
        <w:lastRenderedPageBreak/>
        <w:t>Fiscal Accountability and the Viability of Proposed Development Funds</w:t>
      </w:r>
    </w:p>
    <w:p w14:paraId="4784A6B7" w14:textId="44942227" w:rsidR="7C6615A6" w:rsidRDefault="3CB0014A" w:rsidP="72C24F92">
      <w:pPr>
        <w:spacing w:line="360" w:lineRule="auto"/>
        <w:jc w:val="both"/>
        <w:rPr>
          <w:rFonts w:ascii="Garamond" w:eastAsia="Garamond" w:hAnsi="Garamond" w:cs="Garamond"/>
        </w:rPr>
      </w:pPr>
      <w:r w:rsidRPr="72C24F92">
        <w:rPr>
          <w:rFonts w:ascii="Garamond" w:eastAsia="Garamond" w:hAnsi="Garamond" w:cs="Garamond"/>
        </w:rPr>
        <w:t>The proposed amendment to establish three new funds—the National Government Constituency Development Fund (NGCDF), the National Government Affirmative Action Fund (NGAAF), and the Senate Oversight Fund—raises significant concerns regarding fiscal prudence, efficiency, and accountability.</w:t>
      </w:r>
      <w:r w:rsidR="7884E548" w:rsidRPr="72C24F92">
        <w:rPr>
          <w:rFonts w:ascii="Garamond" w:eastAsia="Garamond" w:hAnsi="Garamond" w:cs="Garamond"/>
        </w:rPr>
        <w:t xml:space="preserve"> </w:t>
      </w:r>
      <w:r w:rsidR="7C6615A6" w:rsidRPr="72C24F92">
        <w:rPr>
          <w:rFonts w:ascii="Garamond" w:eastAsia="Garamond" w:hAnsi="Garamond" w:cs="Garamond"/>
        </w:rPr>
        <w:t xml:space="preserve">By establishing parallel structures that duplicate the NGCDF's shortcomings, the proposed amendment bill has similar shortcomings and runs the danger of causing the same problems. Dividing the NGCDF structure into three separate funds in an attempt to address governance issues ignores the fundamental constitutional violations. Rather, it exacerbates inefficiencies, overlaps responsibilities, and weakens accountability mechanisms. </w:t>
      </w:r>
    </w:p>
    <w:p w14:paraId="031001E1" w14:textId="7F11478F" w:rsidR="45C59240" w:rsidRDefault="45C59240" w:rsidP="72C24F92">
      <w:pPr>
        <w:spacing w:line="360" w:lineRule="auto"/>
        <w:jc w:val="both"/>
        <w:rPr>
          <w:rFonts w:ascii="Garamond" w:eastAsia="Garamond" w:hAnsi="Garamond" w:cs="Garamond"/>
        </w:rPr>
      </w:pPr>
      <w:r w:rsidRPr="72C24F92">
        <w:rPr>
          <w:rFonts w:ascii="Garamond" w:eastAsia="Garamond" w:hAnsi="Garamond" w:cs="Garamond"/>
        </w:rPr>
        <w:t xml:space="preserve">There has been a lot of criticism about the National Government Constituencies Development Fund, especially in relation to its recent amendments and the allocations made over time. The government allocated the NGCDF </w:t>
      </w:r>
      <w:proofErr w:type="spellStart"/>
      <w:r w:rsidRPr="72C24F92">
        <w:rPr>
          <w:rFonts w:ascii="Garamond" w:eastAsia="Garamond" w:hAnsi="Garamond" w:cs="Garamond"/>
          <w:b/>
          <w:bCs/>
        </w:rPr>
        <w:t>KSh</w:t>
      </w:r>
      <w:proofErr w:type="spellEnd"/>
      <w:r w:rsidRPr="72C24F92">
        <w:rPr>
          <w:rFonts w:ascii="Garamond" w:eastAsia="Garamond" w:hAnsi="Garamond" w:cs="Garamond"/>
          <w:b/>
          <w:bCs/>
        </w:rPr>
        <w:t xml:space="preserve"> 53.5 billion</w:t>
      </w:r>
      <w:r w:rsidRPr="72C24F92">
        <w:rPr>
          <w:rFonts w:ascii="Garamond" w:eastAsia="Garamond" w:hAnsi="Garamond" w:cs="Garamond"/>
        </w:rPr>
        <w:t xml:space="preserve"> in the fiscal year </w:t>
      </w:r>
      <w:r w:rsidRPr="72C24F92">
        <w:rPr>
          <w:rFonts w:ascii="Garamond" w:eastAsia="Garamond" w:hAnsi="Garamond" w:cs="Garamond"/>
          <w:b/>
          <w:bCs/>
        </w:rPr>
        <w:t>2023–2024</w:t>
      </w:r>
      <w:r w:rsidRPr="72C24F92">
        <w:rPr>
          <w:rFonts w:ascii="Garamond" w:eastAsia="Garamond" w:hAnsi="Garamond" w:cs="Garamond"/>
        </w:rPr>
        <w:t xml:space="preserve">, a </w:t>
      </w:r>
      <w:r w:rsidRPr="72C24F92">
        <w:rPr>
          <w:rFonts w:ascii="Garamond" w:eastAsia="Garamond" w:hAnsi="Garamond" w:cs="Garamond"/>
          <w:b/>
          <w:bCs/>
        </w:rPr>
        <w:t>21%</w:t>
      </w:r>
      <w:r w:rsidRPr="72C24F92">
        <w:rPr>
          <w:rFonts w:ascii="Garamond" w:eastAsia="Garamond" w:hAnsi="Garamond" w:cs="Garamond"/>
        </w:rPr>
        <w:t xml:space="preserve"> increase over the </w:t>
      </w:r>
      <w:proofErr w:type="spellStart"/>
      <w:r w:rsidRPr="72C24F92">
        <w:rPr>
          <w:rFonts w:ascii="Garamond" w:eastAsia="Garamond" w:hAnsi="Garamond" w:cs="Garamond"/>
          <w:b/>
          <w:bCs/>
        </w:rPr>
        <w:t>KSh</w:t>
      </w:r>
      <w:proofErr w:type="spellEnd"/>
      <w:r w:rsidRPr="72C24F92">
        <w:rPr>
          <w:rFonts w:ascii="Garamond" w:eastAsia="Garamond" w:hAnsi="Garamond" w:cs="Garamond"/>
          <w:b/>
          <w:bCs/>
        </w:rPr>
        <w:t xml:space="preserve"> 44.3</w:t>
      </w:r>
      <w:r w:rsidRPr="72C24F92">
        <w:rPr>
          <w:rFonts w:ascii="Garamond" w:eastAsia="Garamond" w:hAnsi="Garamond" w:cs="Garamond"/>
        </w:rPr>
        <w:t xml:space="preserve"> billion given the year before.</w:t>
      </w:r>
      <w:r w:rsidRPr="72C24F92">
        <w:rPr>
          <w:rStyle w:val="FootnoteReference"/>
          <w:rFonts w:ascii="Garamond" w:eastAsia="Garamond" w:hAnsi="Garamond" w:cs="Garamond"/>
        </w:rPr>
        <w:footnoteReference w:id="18"/>
      </w:r>
      <w:r w:rsidRPr="72C24F92">
        <w:rPr>
          <w:rFonts w:ascii="Garamond" w:eastAsia="Garamond" w:hAnsi="Garamond" w:cs="Garamond"/>
        </w:rPr>
        <w:t xml:space="preserve"> This rise shows a continued dedication to local development projects; historically, the fund has supported a range of programs, such as infrastructure, health, and education.</w:t>
      </w:r>
    </w:p>
    <w:p w14:paraId="4499C457" w14:textId="035BF986" w:rsidR="6800F6B5" w:rsidRDefault="6800F6B5" w:rsidP="72C24F92">
      <w:pPr>
        <w:spacing w:line="360" w:lineRule="auto"/>
        <w:jc w:val="both"/>
        <w:rPr>
          <w:rFonts w:ascii="Garamond" w:eastAsia="Garamond" w:hAnsi="Garamond" w:cs="Garamond"/>
        </w:rPr>
      </w:pPr>
      <w:r w:rsidRPr="72C24F92">
        <w:rPr>
          <w:rFonts w:ascii="Garamond" w:eastAsia="Garamond" w:hAnsi="Garamond" w:cs="Garamond"/>
        </w:rPr>
        <w:t xml:space="preserve">There are a number of inconsistencies and instances of poor administration in different constituencies, according to the </w:t>
      </w:r>
      <w:r w:rsidRPr="72C24F92">
        <w:rPr>
          <w:rFonts w:ascii="Garamond" w:eastAsia="Garamond" w:hAnsi="Garamond" w:cs="Garamond"/>
          <w:b/>
          <w:bCs/>
        </w:rPr>
        <w:t>Auditor-General's Report on the National Government Constituencies Development Fund for the fiscal year that concluded on June 30, 2023</w:t>
      </w:r>
      <w:r w:rsidRPr="72C24F92">
        <w:rPr>
          <w:rFonts w:ascii="Garamond" w:eastAsia="Garamond" w:hAnsi="Garamond" w:cs="Garamond"/>
        </w:rPr>
        <w:t xml:space="preserve">. Reports from constituencies including </w:t>
      </w:r>
      <w:proofErr w:type="spellStart"/>
      <w:r w:rsidRPr="72C24F92">
        <w:rPr>
          <w:rFonts w:ascii="Garamond" w:eastAsia="Garamond" w:hAnsi="Garamond" w:cs="Garamond"/>
          <w:b/>
          <w:bCs/>
        </w:rPr>
        <w:t>Nyaribari</w:t>
      </w:r>
      <w:proofErr w:type="spellEnd"/>
      <w:r w:rsidRPr="72C24F92">
        <w:rPr>
          <w:rFonts w:ascii="Garamond" w:eastAsia="Garamond" w:hAnsi="Garamond" w:cs="Garamond"/>
          <w:b/>
          <w:bCs/>
        </w:rPr>
        <w:t xml:space="preserve"> </w:t>
      </w:r>
      <w:proofErr w:type="spellStart"/>
      <w:r w:rsidRPr="72C24F92">
        <w:rPr>
          <w:rFonts w:ascii="Garamond" w:eastAsia="Garamond" w:hAnsi="Garamond" w:cs="Garamond"/>
          <w:b/>
          <w:bCs/>
        </w:rPr>
        <w:t>Masaba</w:t>
      </w:r>
      <w:proofErr w:type="spellEnd"/>
      <w:r w:rsidRPr="72C24F92">
        <w:rPr>
          <w:rFonts w:ascii="Garamond" w:eastAsia="Garamond" w:hAnsi="Garamond" w:cs="Garamond"/>
          <w:b/>
          <w:bCs/>
        </w:rPr>
        <w:t xml:space="preserve">, </w:t>
      </w:r>
      <w:proofErr w:type="spellStart"/>
      <w:r w:rsidRPr="72C24F92">
        <w:rPr>
          <w:rFonts w:ascii="Garamond" w:eastAsia="Garamond" w:hAnsi="Garamond" w:cs="Garamond"/>
          <w:b/>
          <w:bCs/>
        </w:rPr>
        <w:t>Wajir</w:t>
      </w:r>
      <w:proofErr w:type="spellEnd"/>
      <w:r w:rsidRPr="72C24F92">
        <w:rPr>
          <w:rFonts w:ascii="Garamond" w:eastAsia="Garamond" w:hAnsi="Garamond" w:cs="Garamond"/>
          <w:b/>
          <w:bCs/>
        </w:rPr>
        <w:t xml:space="preserve"> East,</w:t>
      </w:r>
      <w:r w:rsidRPr="72C24F92">
        <w:rPr>
          <w:rFonts w:ascii="Garamond" w:eastAsia="Garamond" w:hAnsi="Garamond" w:cs="Garamond"/>
        </w:rPr>
        <w:t xml:space="preserve"> and </w:t>
      </w:r>
      <w:r w:rsidRPr="72C24F92">
        <w:rPr>
          <w:rFonts w:ascii="Garamond" w:eastAsia="Garamond" w:hAnsi="Garamond" w:cs="Garamond"/>
          <w:b/>
          <w:bCs/>
        </w:rPr>
        <w:t xml:space="preserve">West </w:t>
      </w:r>
      <w:proofErr w:type="spellStart"/>
      <w:r w:rsidRPr="72C24F92">
        <w:rPr>
          <w:rFonts w:ascii="Garamond" w:eastAsia="Garamond" w:hAnsi="Garamond" w:cs="Garamond"/>
          <w:b/>
          <w:bCs/>
        </w:rPr>
        <w:t>Mugirango</w:t>
      </w:r>
      <w:proofErr w:type="spellEnd"/>
      <w:r w:rsidRPr="72C24F92">
        <w:rPr>
          <w:rFonts w:ascii="Garamond" w:eastAsia="Garamond" w:hAnsi="Garamond" w:cs="Garamond"/>
        </w:rPr>
        <w:t xml:space="preserve"> have </w:t>
      </w:r>
      <w:r w:rsidR="742D2838" w:rsidRPr="72C24F92">
        <w:rPr>
          <w:rFonts w:ascii="Garamond" w:eastAsia="Garamond" w:hAnsi="Garamond" w:cs="Garamond"/>
        </w:rPr>
        <w:t>flagged issues</w:t>
      </w:r>
      <w:r w:rsidRPr="72C24F92">
        <w:rPr>
          <w:rFonts w:ascii="Garamond" w:eastAsia="Garamond" w:hAnsi="Garamond" w:cs="Garamond"/>
        </w:rPr>
        <w:t xml:space="preserve"> like unfinished projects, un</w:t>
      </w:r>
      <w:r w:rsidR="0D509148" w:rsidRPr="72C24F92">
        <w:rPr>
          <w:rFonts w:ascii="Garamond" w:eastAsia="Garamond" w:hAnsi="Garamond" w:cs="Garamond"/>
        </w:rPr>
        <w:t>accounted funds</w:t>
      </w:r>
      <w:r w:rsidRPr="72C24F92">
        <w:rPr>
          <w:rFonts w:ascii="Garamond" w:eastAsia="Garamond" w:hAnsi="Garamond" w:cs="Garamond"/>
        </w:rPr>
        <w:t xml:space="preserve">, and </w:t>
      </w:r>
      <w:r w:rsidR="3E9824E3" w:rsidRPr="72C24F92">
        <w:rPr>
          <w:rFonts w:ascii="Garamond" w:eastAsia="Garamond" w:hAnsi="Garamond" w:cs="Garamond"/>
        </w:rPr>
        <w:t>lack of proper documentation for expenditures</w:t>
      </w:r>
      <w:r w:rsidRPr="72C24F92">
        <w:rPr>
          <w:rFonts w:ascii="Garamond" w:eastAsia="Garamond" w:hAnsi="Garamond" w:cs="Garamond"/>
        </w:rPr>
        <w:t xml:space="preserve">. </w:t>
      </w:r>
      <w:proofErr w:type="spellStart"/>
      <w:r w:rsidR="4B01EFA4" w:rsidRPr="72C24F92">
        <w:rPr>
          <w:rFonts w:ascii="Garamond" w:eastAsia="Garamond" w:hAnsi="Garamond" w:cs="Garamond"/>
          <w:b/>
          <w:bCs/>
        </w:rPr>
        <w:t>KSh</w:t>
      </w:r>
      <w:proofErr w:type="spellEnd"/>
      <w:r w:rsidR="4B01EFA4" w:rsidRPr="72C24F92">
        <w:rPr>
          <w:rFonts w:ascii="Garamond" w:eastAsia="Garamond" w:hAnsi="Garamond" w:cs="Garamond"/>
          <w:b/>
          <w:bCs/>
        </w:rPr>
        <w:t xml:space="preserve"> 57 billion</w:t>
      </w:r>
      <w:r w:rsidR="4B01EFA4" w:rsidRPr="72C24F92">
        <w:rPr>
          <w:rFonts w:ascii="Garamond" w:eastAsia="Garamond" w:hAnsi="Garamond" w:cs="Garamond"/>
        </w:rPr>
        <w:t xml:space="preserve"> was set aside expressly for bursaries that benefited about </w:t>
      </w:r>
      <w:r w:rsidR="4B01EFA4" w:rsidRPr="72C24F92">
        <w:rPr>
          <w:rFonts w:ascii="Garamond" w:eastAsia="Garamond" w:hAnsi="Garamond" w:cs="Garamond"/>
          <w:b/>
          <w:bCs/>
        </w:rPr>
        <w:t>6 million students</w:t>
      </w:r>
      <w:r w:rsidR="4B01EFA4" w:rsidRPr="72C24F92">
        <w:rPr>
          <w:rFonts w:ascii="Garamond" w:eastAsia="Garamond" w:hAnsi="Garamond" w:cs="Garamond"/>
        </w:rPr>
        <w:t xml:space="preserve"> between </w:t>
      </w:r>
      <w:r w:rsidR="4B01EFA4" w:rsidRPr="72C24F92">
        <w:rPr>
          <w:rFonts w:ascii="Garamond" w:eastAsia="Garamond" w:hAnsi="Garamond" w:cs="Garamond"/>
          <w:b/>
          <w:bCs/>
        </w:rPr>
        <w:t>2017 and 2022 alone.</w:t>
      </w:r>
      <w:r w:rsidRPr="72C24F92">
        <w:rPr>
          <w:rStyle w:val="FootnoteReference"/>
          <w:rFonts w:ascii="Garamond" w:eastAsia="Garamond" w:hAnsi="Garamond" w:cs="Garamond"/>
        </w:rPr>
        <w:footnoteReference w:id="19"/>
      </w:r>
      <w:r w:rsidR="4B01EFA4" w:rsidRPr="72C24F92">
        <w:rPr>
          <w:rFonts w:ascii="Garamond" w:eastAsia="Garamond" w:hAnsi="Garamond" w:cs="Garamond"/>
        </w:rPr>
        <w:t xml:space="preserve"> Despite these numbers, concerns about poor management and inefficient use of funds have been repeatedly brought up in auditor reports. According to reports, a sizable portion of NGCDF-financed projects encounter delays or fall short of adequately addressing community requirements. </w:t>
      </w:r>
    </w:p>
    <w:p w14:paraId="096D65BB" w14:textId="7BB5D46C" w:rsidR="6C0764AD" w:rsidRDefault="6C0764AD" w:rsidP="72C24F92">
      <w:pPr>
        <w:spacing w:line="360" w:lineRule="auto"/>
        <w:jc w:val="both"/>
        <w:rPr>
          <w:rFonts w:ascii="Garamond" w:eastAsia="Garamond" w:hAnsi="Garamond" w:cs="Garamond"/>
        </w:rPr>
      </w:pPr>
      <w:r w:rsidRPr="72C24F92">
        <w:rPr>
          <w:rFonts w:ascii="Garamond" w:eastAsia="Garamond" w:hAnsi="Garamond" w:cs="Garamond"/>
        </w:rPr>
        <w:t xml:space="preserve">In recent audits, the Auditor-General has noted that a significant portion of the </w:t>
      </w:r>
      <w:proofErr w:type="spellStart"/>
      <w:r w:rsidRPr="72C24F92">
        <w:rPr>
          <w:rFonts w:ascii="Garamond" w:eastAsia="Garamond" w:hAnsi="Garamond" w:cs="Garamond"/>
          <w:b/>
          <w:bCs/>
        </w:rPr>
        <w:t>KSh</w:t>
      </w:r>
      <w:proofErr w:type="spellEnd"/>
      <w:r w:rsidRPr="72C24F92">
        <w:rPr>
          <w:rFonts w:ascii="Garamond" w:eastAsia="Garamond" w:hAnsi="Garamond" w:cs="Garamond"/>
          <w:b/>
          <w:bCs/>
        </w:rPr>
        <w:t xml:space="preserve"> 53.5 billion</w:t>
      </w:r>
      <w:r w:rsidRPr="72C24F92">
        <w:rPr>
          <w:rFonts w:ascii="Garamond" w:eastAsia="Garamond" w:hAnsi="Garamond" w:cs="Garamond"/>
        </w:rPr>
        <w:t xml:space="preserve"> allocated to the NGCDF in the financial year </w:t>
      </w:r>
      <w:r w:rsidRPr="72C24F92">
        <w:rPr>
          <w:rFonts w:ascii="Garamond" w:eastAsia="Garamond" w:hAnsi="Garamond" w:cs="Garamond"/>
          <w:b/>
          <w:bCs/>
        </w:rPr>
        <w:t>2023/24</w:t>
      </w:r>
      <w:r w:rsidRPr="72C24F92">
        <w:rPr>
          <w:rFonts w:ascii="Garamond" w:eastAsia="Garamond" w:hAnsi="Garamond" w:cs="Garamond"/>
        </w:rPr>
        <w:t xml:space="preserve"> has not been utilized effectively. For example, </w:t>
      </w:r>
      <w:r w:rsidRPr="72C24F92">
        <w:rPr>
          <w:rFonts w:ascii="Garamond" w:eastAsia="Garamond" w:hAnsi="Garamond" w:cs="Garamond"/>
        </w:rPr>
        <w:lastRenderedPageBreak/>
        <w:t xml:space="preserve">it was reported that about </w:t>
      </w:r>
      <w:r w:rsidRPr="72C24F92">
        <w:rPr>
          <w:rFonts w:ascii="Garamond" w:eastAsia="Garamond" w:hAnsi="Garamond" w:cs="Garamond"/>
          <w:b/>
          <w:bCs/>
        </w:rPr>
        <w:t>30%</w:t>
      </w:r>
      <w:r w:rsidRPr="72C24F92">
        <w:rPr>
          <w:rFonts w:ascii="Garamond" w:eastAsia="Garamond" w:hAnsi="Garamond" w:cs="Garamond"/>
        </w:rPr>
        <w:t xml:space="preserve"> of funds allocated for bursaries were mismanaged, with allegations of favoritism and corruption in disbursing these funds to students.</w:t>
      </w:r>
    </w:p>
    <w:p w14:paraId="36816D74" w14:textId="76BD51A3" w:rsidR="6C75D910" w:rsidRDefault="6C75D910" w:rsidP="72C24F92">
      <w:pPr>
        <w:spacing w:line="360" w:lineRule="auto"/>
        <w:jc w:val="both"/>
        <w:rPr>
          <w:rFonts w:ascii="Garamond" w:eastAsia="Garamond" w:hAnsi="Garamond" w:cs="Garamond"/>
        </w:rPr>
      </w:pPr>
      <w:r w:rsidRPr="72C24F92">
        <w:rPr>
          <w:rFonts w:ascii="Garamond" w:eastAsia="Garamond" w:hAnsi="Garamond" w:cs="Garamond"/>
        </w:rPr>
        <w:t xml:space="preserve">The proposal to introduce three separate funds ostensibly aims to address specific developmental and oversight needs. But in the absence of guidelines and robust oversight structures this disarray might make already difficult issues worse. The establishment of several funds may result in mission overlap, higher administrative expenses, and even more accountability dilution. Further, the inefficiencies and poor administration seen in the NGCDF run the risk of spreading to the new funds if the </w:t>
      </w:r>
      <w:r w:rsidR="66F5AA94" w:rsidRPr="72C24F92">
        <w:rPr>
          <w:rFonts w:ascii="Garamond" w:eastAsia="Garamond" w:hAnsi="Garamond" w:cs="Garamond"/>
        </w:rPr>
        <w:t>underlying issues</w:t>
      </w:r>
      <w:r w:rsidRPr="72C24F92">
        <w:rPr>
          <w:rFonts w:ascii="Garamond" w:eastAsia="Garamond" w:hAnsi="Garamond" w:cs="Garamond"/>
        </w:rPr>
        <w:t xml:space="preserve"> noted in Auditor-General reports are not addressed.</w:t>
      </w:r>
    </w:p>
    <w:p w14:paraId="72023FE5" w14:textId="67813B01" w:rsidR="72C24F92" w:rsidRDefault="72C24F92" w:rsidP="72C24F92">
      <w:pPr>
        <w:spacing w:line="360" w:lineRule="auto"/>
        <w:jc w:val="both"/>
        <w:rPr>
          <w:rFonts w:ascii="Garamond" w:eastAsia="Garamond" w:hAnsi="Garamond" w:cs="Garamond"/>
        </w:rPr>
      </w:pPr>
    </w:p>
    <w:p w14:paraId="267EA6B6" w14:textId="1D023C4D" w:rsidR="7B852278" w:rsidRDefault="7B852278" w:rsidP="72C24F92">
      <w:pPr>
        <w:pStyle w:val="ListParagraph"/>
        <w:numPr>
          <w:ilvl w:val="0"/>
          <w:numId w:val="21"/>
        </w:numPr>
        <w:spacing w:line="360" w:lineRule="auto"/>
        <w:jc w:val="both"/>
        <w:rPr>
          <w:rFonts w:ascii="Garamond" w:eastAsia="Garamond" w:hAnsi="Garamond" w:cs="Garamond"/>
          <w:b/>
          <w:bCs/>
        </w:rPr>
      </w:pPr>
      <w:r w:rsidRPr="72C24F92">
        <w:rPr>
          <w:rFonts w:ascii="Garamond" w:eastAsia="Garamond" w:hAnsi="Garamond" w:cs="Garamond"/>
          <w:b/>
          <w:bCs/>
        </w:rPr>
        <w:t xml:space="preserve">Lessons from </w:t>
      </w:r>
      <w:proofErr w:type="spellStart"/>
      <w:r w:rsidRPr="72C24F92">
        <w:rPr>
          <w:rFonts w:ascii="Garamond" w:eastAsia="Garamond" w:hAnsi="Garamond" w:cs="Garamond"/>
          <w:b/>
          <w:bCs/>
        </w:rPr>
        <w:t>Katiba</w:t>
      </w:r>
      <w:proofErr w:type="spellEnd"/>
      <w:r w:rsidRPr="72C24F92">
        <w:rPr>
          <w:rFonts w:ascii="Garamond" w:eastAsia="Garamond" w:hAnsi="Garamond" w:cs="Garamond"/>
          <w:b/>
          <w:bCs/>
        </w:rPr>
        <w:t xml:space="preserve"> Institute v. National Government Constituencies Development Fund Board &amp; Others</w:t>
      </w:r>
      <w:r w:rsidRPr="72C24F92">
        <w:rPr>
          <w:rStyle w:val="FootnoteReference"/>
          <w:rFonts w:ascii="Garamond" w:eastAsia="Garamond" w:hAnsi="Garamond" w:cs="Garamond"/>
          <w:b/>
          <w:bCs/>
        </w:rPr>
        <w:footnoteReference w:id="20"/>
      </w:r>
    </w:p>
    <w:p w14:paraId="11966275" w14:textId="3550714A" w:rsidR="72C24F92" w:rsidRDefault="72C24F92" w:rsidP="72C24F92">
      <w:pPr>
        <w:pStyle w:val="ListParagraph"/>
        <w:spacing w:line="360" w:lineRule="auto"/>
        <w:jc w:val="both"/>
        <w:rPr>
          <w:rFonts w:ascii="Garamond" w:eastAsia="Garamond" w:hAnsi="Garamond" w:cs="Garamond"/>
          <w:b/>
          <w:bCs/>
        </w:rPr>
      </w:pPr>
    </w:p>
    <w:p w14:paraId="6F693D9D" w14:textId="52104F18" w:rsidR="7D759DFE" w:rsidRDefault="7D759DFE" w:rsidP="72C24F92">
      <w:pPr>
        <w:pStyle w:val="ListParagraph"/>
        <w:numPr>
          <w:ilvl w:val="0"/>
          <w:numId w:val="20"/>
        </w:numPr>
        <w:spacing w:line="360" w:lineRule="auto"/>
        <w:jc w:val="both"/>
        <w:rPr>
          <w:rFonts w:ascii="Garamond" w:eastAsia="Garamond" w:hAnsi="Garamond" w:cs="Garamond"/>
        </w:rPr>
      </w:pPr>
      <w:r w:rsidRPr="72C24F92">
        <w:rPr>
          <w:rFonts w:ascii="Garamond" w:eastAsia="Garamond" w:hAnsi="Garamond" w:cs="Garamond"/>
          <w:b/>
          <w:bCs/>
        </w:rPr>
        <w:t>Conflict with Devolution Framework</w:t>
      </w:r>
    </w:p>
    <w:p w14:paraId="23E4E0D3" w14:textId="700350A2" w:rsidR="540C7551" w:rsidRDefault="540C7551" w:rsidP="72C24F92">
      <w:pPr>
        <w:spacing w:line="360" w:lineRule="auto"/>
        <w:jc w:val="both"/>
        <w:rPr>
          <w:rFonts w:ascii="Garamond" w:eastAsia="Garamond" w:hAnsi="Garamond" w:cs="Garamond"/>
        </w:rPr>
      </w:pPr>
      <w:r w:rsidRPr="72C24F92">
        <w:rPr>
          <w:rFonts w:ascii="Garamond" w:eastAsia="Garamond" w:hAnsi="Garamond" w:cs="Garamond"/>
        </w:rPr>
        <w:t xml:space="preserve">Devolution is one of the main principles of the 2010 Kenyan Constitution. Devolution is established under </w:t>
      </w:r>
      <w:r w:rsidRPr="72C24F92">
        <w:rPr>
          <w:rFonts w:ascii="Garamond" w:eastAsia="Garamond" w:hAnsi="Garamond" w:cs="Garamond"/>
          <w:b/>
          <w:bCs/>
        </w:rPr>
        <w:t>Article 174</w:t>
      </w:r>
      <w:r w:rsidRPr="72C24F92">
        <w:rPr>
          <w:rFonts w:ascii="Garamond" w:eastAsia="Garamond" w:hAnsi="Garamond" w:cs="Garamond"/>
        </w:rPr>
        <w:t xml:space="preserve"> as a means of empowering local governments to promote self-governance, equitable development, and efficient service delivery</w:t>
      </w:r>
      <w:r w:rsidR="3B9AA42B" w:rsidRPr="72C24F92">
        <w:rPr>
          <w:rFonts w:ascii="Garamond" w:eastAsia="Garamond" w:hAnsi="Garamond" w:cs="Garamond"/>
        </w:rPr>
        <w:t xml:space="preserve">. </w:t>
      </w:r>
      <w:r w:rsidRPr="72C24F92">
        <w:rPr>
          <w:rFonts w:ascii="Garamond" w:eastAsia="Garamond" w:hAnsi="Garamond" w:cs="Garamond"/>
        </w:rPr>
        <w:t xml:space="preserve">By distributing funds directly to constituencies governed by Members of Parliament (MPs), the NGCDF essentially usurped the functions of county governments, </w:t>
      </w:r>
      <w:r w:rsidR="1E2D641E" w:rsidRPr="72C24F92">
        <w:rPr>
          <w:rFonts w:ascii="Garamond" w:eastAsia="Garamond" w:hAnsi="Garamond" w:cs="Garamond"/>
        </w:rPr>
        <w:t>as determined by the court</w:t>
      </w:r>
      <w:r w:rsidRPr="72C24F92">
        <w:rPr>
          <w:rFonts w:ascii="Garamond" w:eastAsia="Garamond" w:hAnsi="Garamond" w:cs="Garamond"/>
        </w:rPr>
        <w:t xml:space="preserve"> in </w:t>
      </w:r>
      <w:proofErr w:type="spellStart"/>
      <w:r w:rsidRPr="72C24F92">
        <w:rPr>
          <w:rFonts w:ascii="Garamond" w:eastAsia="Garamond" w:hAnsi="Garamond" w:cs="Garamond"/>
        </w:rPr>
        <w:t>Katiba</w:t>
      </w:r>
      <w:proofErr w:type="spellEnd"/>
      <w:r w:rsidRPr="72C24F92">
        <w:rPr>
          <w:rFonts w:ascii="Garamond" w:eastAsia="Garamond" w:hAnsi="Garamond" w:cs="Garamond"/>
        </w:rPr>
        <w:t xml:space="preserve"> Institute.</w:t>
      </w:r>
    </w:p>
    <w:p w14:paraId="5099481A" w14:textId="5DE3C5CA" w:rsidR="17E788C9" w:rsidRDefault="17E788C9" w:rsidP="72C24F92">
      <w:pPr>
        <w:spacing w:line="360" w:lineRule="auto"/>
        <w:jc w:val="both"/>
        <w:rPr>
          <w:rFonts w:ascii="Garamond" w:eastAsia="Garamond" w:hAnsi="Garamond" w:cs="Garamond"/>
        </w:rPr>
      </w:pPr>
      <w:r w:rsidRPr="72C24F92">
        <w:rPr>
          <w:rFonts w:ascii="Garamond" w:eastAsia="Garamond" w:hAnsi="Garamond" w:cs="Garamond"/>
          <w:b/>
          <w:bCs/>
        </w:rPr>
        <w:t xml:space="preserve">Replicating the Problem: </w:t>
      </w:r>
      <w:r w:rsidR="7EEDFB78" w:rsidRPr="72C24F92">
        <w:rPr>
          <w:rFonts w:ascii="Garamond" w:eastAsia="Garamond" w:hAnsi="Garamond" w:cs="Garamond"/>
        </w:rPr>
        <w:t xml:space="preserve">By allocating national funding to entities under the control of legislators, the proposed amendment produces a similar circumstance. </w:t>
      </w:r>
      <w:r w:rsidR="13881C7E" w:rsidRPr="72C24F92">
        <w:rPr>
          <w:rFonts w:ascii="Garamond" w:eastAsia="Garamond" w:hAnsi="Garamond" w:cs="Garamond"/>
        </w:rPr>
        <w:t xml:space="preserve">These funds parallel the development functions </w:t>
      </w:r>
      <w:r w:rsidR="7EEDFB78" w:rsidRPr="72C24F92">
        <w:rPr>
          <w:rFonts w:ascii="Garamond" w:eastAsia="Garamond" w:hAnsi="Garamond" w:cs="Garamond"/>
        </w:rPr>
        <w:t>such as infrastructure, agriculture, and health</w:t>
      </w:r>
      <w:r w:rsidR="05698E37" w:rsidRPr="72C24F92">
        <w:rPr>
          <w:rFonts w:ascii="Garamond" w:eastAsia="Garamond" w:hAnsi="Garamond" w:cs="Garamond"/>
        </w:rPr>
        <w:t xml:space="preserve"> </w:t>
      </w:r>
      <w:r w:rsidR="7EEDFB78" w:rsidRPr="72C24F92">
        <w:rPr>
          <w:rFonts w:ascii="Garamond" w:eastAsia="Garamond" w:hAnsi="Garamond" w:cs="Garamond"/>
        </w:rPr>
        <w:t xml:space="preserve">that are constitutionally delegated to counties under the Fourth Schedule. By </w:t>
      </w:r>
      <w:r w:rsidR="72487D35" w:rsidRPr="72C24F92">
        <w:rPr>
          <w:rFonts w:ascii="Garamond" w:eastAsia="Garamond" w:hAnsi="Garamond" w:cs="Garamond"/>
        </w:rPr>
        <w:t>fragmenting responsibilities</w:t>
      </w:r>
      <w:r w:rsidR="7EEDFB78" w:rsidRPr="72C24F92">
        <w:rPr>
          <w:rFonts w:ascii="Garamond" w:eastAsia="Garamond" w:hAnsi="Garamond" w:cs="Garamond"/>
        </w:rPr>
        <w:t xml:space="preserve">, this duplication not only leads to disputes between the two tiers of government but also </w:t>
      </w:r>
      <w:r w:rsidR="1A02BE85" w:rsidRPr="72C24F92">
        <w:rPr>
          <w:rFonts w:ascii="Garamond" w:eastAsia="Garamond" w:hAnsi="Garamond" w:cs="Garamond"/>
        </w:rPr>
        <w:t>reduces</w:t>
      </w:r>
      <w:r w:rsidR="7EEDFB78" w:rsidRPr="72C24F92">
        <w:rPr>
          <w:rFonts w:ascii="Garamond" w:eastAsia="Garamond" w:hAnsi="Garamond" w:cs="Garamond"/>
        </w:rPr>
        <w:t xml:space="preserve"> the efficiency of resource distribution.</w:t>
      </w:r>
    </w:p>
    <w:p w14:paraId="75EF6D8B" w14:textId="40E11C63" w:rsidR="7EEDFB78" w:rsidRDefault="7EEDFB78" w:rsidP="72C24F92">
      <w:pPr>
        <w:spacing w:line="360" w:lineRule="auto"/>
        <w:jc w:val="both"/>
        <w:rPr>
          <w:rFonts w:ascii="Garamond" w:eastAsia="Garamond" w:hAnsi="Garamond" w:cs="Garamond"/>
        </w:rPr>
      </w:pPr>
      <w:r w:rsidRPr="72C24F92">
        <w:rPr>
          <w:rFonts w:ascii="Garamond" w:eastAsia="Garamond" w:hAnsi="Garamond" w:cs="Garamond"/>
          <w:b/>
          <w:bCs/>
        </w:rPr>
        <w:t>Weakening Local Authority:</w:t>
      </w:r>
      <w:r w:rsidRPr="72C24F92">
        <w:rPr>
          <w:rFonts w:ascii="Garamond" w:eastAsia="Garamond" w:hAnsi="Garamond" w:cs="Garamond"/>
        </w:rPr>
        <w:t xml:space="preserve"> In contrast to the constitutional goals of promoting local decision</w:t>
      </w:r>
      <w:r w:rsidR="4B9F796D" w:rsidRPr="72C24F92">
        <w:rPr>
          <w:rFonts w:ascii="Garamond" w:eastAsia="Garamond" w:hAnsi="Garamond" w:cs="Garamond"/>
        </w:rPr>
        <w:t xml:space="preserve"> </w:t>
      </w:r>
      <w:r w:rsidRPr="72C24F92">
        <w:rPr>
          <w:rFonts w:ascii="Garamond" w:eastAsia="Garamond" w:hAnsi="Garamond" w:cs="Garamond"/>
        </w:rPr>
        <w:t xml:space="preserve">making and resolving regional imbalances, the </w:t>
      </w:r>
      <w:r w:rsidR="74BCB3E6" w:rsidRPr="72C24F92">
        <w:rPr>
          <w:rFonts w:ascii="Garamond" w:eastAsia="Garamond" w:hAnsi="Garamond" w:cs="Garamond"/>
        </w:rPr>
        <w:t>amendment</w:t>
      </w:r>
      <w:r w:rsidRPr="72C24F92">
        <w:rPr>
          <w:rFonts w:ascii="Garamond" w:eastAsia="Garamond" w:hAnsi="Garamond" w:cs="Garamond"/>
        </w:rPr>
        <w:t xml:space="preserve"> weakens the autonomy and authority of county governments by centralizing management of development funding at the federal level.</w:t>
      </w:r>
      <w:r w:rsidR="5A3C7A07" w:rsidRPr="72C24F92">
        <w:rPr>
          <w:rFonts w:ascii="Garamond" w:eastAsia="Garamond" w:hAnsi="Garamond" w:cs="Garamond"/>
        </w:rPr>
        <w:t xml:space="preserve"> By allowing the national government to oversee local development functions which are constitutionally </w:t>
      </w:r>
      <w:r w:rsidR="5A3C7A07" w:rsidRPr="72C24F92">
        <w:rPr>
          <w:rFonts w:ascii="Garamond" w:eastAsia="Garamond" w:hAnsi="Garamond" w:cs="Garamond"/>
        </w:rPr>
        <w:lastRenderedPageBreak/>
        <w:t>reserved for county governments under Article 174</w:t>
      </w:r>
      <w:r w:rsidRPr="72C24F92">
        <w:rPr>
          <w:rStyle w:val="FootnoteReference"/>
          <w:rFonts w:ascii="Garamond" w:eastAsia="Garamond" w:hAnsi="Garamond" w:cs="Garamond"/>
        </w:rPr>
        <w:footnoteReference w:id="21"/>
      </w:r>
      <w:r w:rsidR="5A3C7A07" w:rsidRPr="72C24F92">
        <w:rPr>
          <w:rFonts w:ascii="Garamond" w:eastAsia="Garamond" w:hAnsi="Garamond" w:cs="Garamond"/>
        </w:rPr>
        <w:t xml:space="preserve">, the NGCDF Act compromised devolution. By establishing multiple national funds that impede the functional autonomy of county governments, the proposed amendment as earlier stated duplicates this problem. The amendment circumvents county governments by giving funds to MPs and Senators directly through NGCDF and NGAAF, hence reducing their involvement in development project design and execution. This goes against the </w:t>
      </w:r>
      <w:r w:rsidR="5A3C7A07" w:rsidRPr="72C24F92">
        <w:rPr>
          <w:rFonts w:ascii="Garamond" w:eastAsia="Garamond" w:hAnsi="Garamond" w:cs="Garamond"/>
          <w:b/>
          <w:bCs/>
        </w:rPr>
        <w:t>subsidiarity principle</w:t>
      </w:r>
      <w:r w:rsidR="5A3C7A07" w:rsidRPr="72C24F92">
        <w:rPr>
          <w:rFonts w:ascii="Garamond" w:eastAsia="Garamond" w:hAnsi="Garamond" w:cs="Garamond"/>
        </w:rPr>
        <w:t>, which states that decisions must be made at the most localized and effective level.</w:t>
      </w:r>
    </w:p>
    <w:p w14:paraId="2338EF98" w14:textId="4F5DFEA4" w:rsidR="5A3C7A07" w:rsidRDefault="5A3C7A07" w:rsidP="72C24F92">
      <w:pPr>
        <w:pStyle w:val="ListParagraph"/>
        <w:numPr>
          <w:ilvl w:val="0"/>
          <w:numId w:val="20"/>
        </w:numPr>
        <w:spacing w:line="360" w:lineRule="auto"/>
        <w:jc w:val="both"/>
        <w:rPr>
          <w:rFonts w:ascii="Garamond" w:eastAsia="Garamond" w:hAnsi="Garamond" w:cs="Garamond"/>
        </w:rPr>
      </w:pPr>
      <w:r w:rsidRPr="72C24F92">
        <w:rPr>
          <w:rFonts w:ascii="Garamond" w:eastAsia="Garamond" w:hAnsi="Garamond" w:cs="Garamond"/>
          <w:b/>
          <w:bCs/>
        </w:rPr>
        <w:t>Contravention of Public Finance Principle</w:t>
      </w:r>
      <w:r w:rsidRPr="72C24F92">
        <w:rPr>
          <w:rFonts w:ascii="Garamond" w:eastAsia="Garamond" w:hAnsi="Garamond" w:cs="Garamond"/>
        </w:rPr>
        <w:t>s</w:t>
      </w:r>
    </w:p>
    <w:p w14:paraId="174CFC76" w14:textId="06EB6FDE" w:rsidR="4D806762" w:rsidRDefault="4D806762" w:rsidP="72C24F92">
      <w:pPr>
        <w:spacing w:line="360" w:lineRule="auto"/>
        <w:jc w:val="both"/>
        <w:rPr>
          <w:rFonts w:ascii="Garamond" w:eastAsia="Garamond" w:hAnsi="Garamond" w:cs="Garamond"/>
        </w:rPr>
      </w:pPr>
      <w:r w:rsidRPr="72C24F92">
        <w:rPr>
          <w:rFonts w:ascii="Garamond" w:eastAsia="Garamond" w:hAnsi="Garamond" w:cs="Garamond"/>
        </w:rPr>
        <w:t>Public finance must be managed transparently, equitably, and prudently to promote accountability and equitable development</w:t>
      </w:r>
      <w:r w:rsidR="56F7567C" w:rsidRPr="72C24F92">
        <w:rPr>
          <w:rFonts w:ascii="Garamond" w:eastAsia="Garamond" w:hAnsi="Garamond" w:cs="Garamond"/>
        </w:rPr>
        <w:t xml:space="preserve"> </w:t>
      </w:r>
      <w:r w:rsidRPr="72C24F92">
        <w:rPr>
          <w:rFonts w:ascii="Garamond" w:eastAsia="Garamond" w:hAnsi="Garamond" w:cs="Garamond"/>
        </w:rPr>
        <w:t xml:space="preserve">according to the principles of public finance, which are contained in </w:t>
      </w:r>
      <w:r w:rsidRPr="72C24F92">
        <w:rPr>
          <w:rFonts w:ascii="Garamond" w:eastAsia="Garamond" w:hAnsi="Garamond" w:cs="Garamond"/>
          <w:b/>
          <w:bCs/>
        </w:rPr>
        <w:t>Articles 201, 202, and 203 of the Constitution</w:t>
      </w:r>
      <w:r w:rsidRPr="72C24F92">
        <w:rPr>
          <w:rStyle w:val="FootnoteReference"/>
          <w:rFonts w:ascii="Garamond" w:eastAsia="Garamond" w:hAnsi="Garamond" w:cs="Garamond"/>
        </w:rPr>
        <w:footnoteReference w:id="22"/>
      </w:r>
      <w:r w:rsidRPr="72C24F92">
        <w:rPr>
          <w:rFonts w:ascii="Garamond" w:eastAsia="Garamond" w:hAnsi="Garamond" w:cs="Garamond"/>
        </w:rPr>
        <w:t>. The court emphasized how NGCDF operations went against fundamental principles, and the proposed Bill has comparable problems.</w:t>
      </w:r>
    </w:p>
    <w:p w14:paraId="2DAD9CED" w14:textId="079F7D55" w:rsidR="3F185684" w:rsidRDefault="3F185684" w:rsidP="72C24F92">
      <w:pPr>
        <w:spacing w:line="360" w:lineRule="auto"/>
        <w:jc w:val="both"/>
        <w:rPr>
          <w:rFonts w:ascii="Garamond" w:eastAsia="Garamond" w:hAnsi="Garamond" w:cs="Garamond"/>
        </w:rPr>
      </w:pPr>
      <w:r w:rsidRPr="72C24F92">
        <w:rPr>
          <w:rFonts w:ascii="Garamond" w:eastAsia="Garamond" w:hAnsi="Garamond" w:cs="Garamond"/>
          <w:b/>
          <w:bCs/>
        </w:rPr>
        <w:t>Equity Concerns</w:t>
      </w:r>
      <w:r w:rsidRPr="72C24F92">
        <w:rPr>
          <w:rFonts w:ascii="Garamond" w:eastAsia="Garamond" w:hAnsi="Garamond" w:cs="Garamond"/>
        </w:rPr>
        <w:t>: Article 201(b) requires that resources be distributed fairly, with Articles 203(1)(g) and 204</w:t>
      </w:r>
      <w:r w:rsidRPr="72C24F92">
        <w:rPr>
          <w:rStyle w:val="FootnoteReference"/>
          <w:rFonts w:ascii="Garamond" w:eastAsia="Garamond" w:hAnsi="Garamond" w:cs="Garamond"/>
        </w:rPr>
        <w:footnoteReference w:id="23"/>
      </w:r>
      <w:r w:rsidRPr="72C24F92">
        <w:rPr>
          <w:rFonts w:ascii="Garamond" w:eastAsia="Garamond" w:hAnsi="Garamond" w:cs="Garamond"/>
        </w:rPr>
        <w:t xml:space="preserve"> providing additional provisions for underserved communities and regions. However, the Senate Oversight Fund, NGAAF, and NGCDF place an excessive amount of emphasis on political regions and constituencies, frequently giving preference to politically powerful areas over underserved ones. The </w:t>
      </w:r>
      <w:proofErr w:type="spellStart"/>
      <w:r w:rsidRPr="72C24F92">
        <w:rPr>
          <w:rFonts w:ascii="Garamond" w:eastAsia="Garamond" w:hAnsi="Garamond" w:cs="Garamond"/>
        </w:rPr>
        <w:t>Equalisation</w:t>
      </w:r>
      <w:proofErr w:type="spellEnd"/>
      <w:r w:rsidRPr="72C24F92">
        <w:rPr>
          <w:rFonts w:ascii="Garamond" w:eastAsia="Garamond" w:hAnsi="Garamond" w:cs="Garamond"/>
        </w:rPr>
        <w:t xml:space="preserve"> Fund's goal of resolving structural disparities in the delivery of essential services is compromised by this.</w:t>
      </w:r>
    </w:p>
    <w:p w14:paraId="075044AC" w14:textId="1E04C212" w:rsidR="118E1029" w:rsidRDefault="118E1029" w:rsidP="72C24F92">
      <w:pPr>
        <w:spacing w:line="360" w:lineRule="auto"/>
        <w:jc w:val="both"/>
        <w:rPr>
          <w:rFonts w:ascii="Garamond" w:eastAsia="Garamond" w:hAnsi="Garamond" w:cs="Garamond"/>
        </w:rPr>
      </w:pPr>
      <w:r w:rsidRPr="72C24F92">
        <w:rPr>
          <w:rFonts w:ascii="Garamond" w:eastAsia="Garamond" w:hAnsi="Garamond" w:cs="Garamond"/>
          <w:b/>
          <w:bCs/>
        </w:rPr>
        <w:t>Accountability Failures</w:t>
      </w:r>
      <w:r w:rsidRPr="72C24F92">
        <w:rPr>
          <w:rFonts w:ascii="Garamond" w:eastAsia="Garamond" w:hAnsi="Garamond" w:cs="Garamond"/>
        </w:rPr>
        <w:t>: Unsupported expenses, unfinished projects, and irregular procurement practices have all been mentioned in Auditor-General reports as examples of poor management in NGCDF operations. Financial mismanagement could worsen if more monies are allocated to comparable funds without first resolving these accountability concerns.</w:t>
      </w:r>
    </w:p>
    <w:p w14:paraId="51166E03" w14:textId="12756997" w:rsidR="118E1029" w:rsidRDefault="118E1029" w:rsidP="72C24F92">
      <w:pPr>
        <w:spacing w:line="360" w:lineRule="auto"/>
        <w:jc w:val="both"/>
        <w:rPr>
          <w:rFonts w:ascii="Garamond" w:eastAsia="Garamond" w:hAnsi="Garamond" w:cs="Garamond"/>
        </w:rPr>
      </w:pPr>
      <w:r w:rsidRPr="72C24F92">
        <w:rPr>
          <w:rFonts w:ascii="Garamond" w:eastAsia="Garamond" w:hAnsi="Garamond" w:cs="Garamond"/>
          <w:b/>
          <w:bCs/>
        </w:rPr>
        <w:t xml:space="preserve">Resource Fragmentation: </w:t>
      </w:r>
      <w:r w:rsidRPr="72C24F92">
        <w:rPr>
          <w:rFonts w:ascii="Garamond" w:eastAsia="Garamond" w:hAnsi="Garamond" w:cs="Garamond"/>
        </w:rPr>
        <w:t xml:space="preserve">The Bill's creation of three distinct funds runs the danger of </w:t>
      </w:r>
      <w:r w:rsidR="5F9796F0" w:rsidRPr="72C24F92">
        <w:rPr>
          <w:rFonts w:ascii="Garamond" w:eastAsia="Garamond" w:hAnsi="Garamond" w:cs="Garamond"/>
        </w:rPr>
        <w:t>reducing</w:t>
      </w:r>
      <w:r w:rsidRPr="72C24F92">
        <w:rPr>
          <w:rFonts w:ascii="Garamond" w:eastAsia="Garamond" w:hAnsi="Garamond" w:cs="Garamond"/>
        </w:rPr>
        <w:t xml:space="preserve"> the effect of resource distribution. Dividing funds across several </w:t>
      </w:r>
      <w:r w:rsidR="44A4CFFB" w:rsidRPr="72C24F92">
        <w:rPr>
          <w:rFonts w:ascii="Garamond" w:eastAsia="Garamond" w:hAnsi="Garamond" w:cs="Garamond"/>
        </w:rPr>
        <w:t xml:space="preserve">entities </w:t>
      </w:r>
      <w:r w:rsidRPr="72C24F92">
        <w:rPr>
          <w:rFonts w:ascii="Garamond" w:eastAsia="Garamond" w:hAnsi="Garamond" w:cs="Garamond"/>
        </w:rPr>
        <w:t>limits the amount available for high-priority development projects and leads to inefficiency due to overlapping administrative costs when national revenue is limited.</w:t>
      </w:r>
    </w:p>
    <w:p w14:paraId="6D3684CA" w14:textId="0FFB600E" w:rsidR="190FD26E" w:rsidRDefault="190FD26E" w:rsidP="72C24F92">
      <w:pPr>
        <w:pStyle w:val="ListParagraph"/>
        <w:numPr>
          <w:ilvl w:val="0"/>
          <w:numId w:val="20"/>
        </w:numPr>
        <w:spacing w:line="360" w:lineRule="auto"/>
        <w:jc w:val="both"/>
        <w:rPr>
          <w:rFonts w:ascii="Garamond" w:eastAsia="Garamond" w:hAnsi="Garamond" w:cs="Garamond"/>
          <w:b/>
          <w:bCs/>
        </w:rPr>
      </w:pPr>
      <w:r w:rsidRPr="72C24F92">
        <w:rPr>
          <w:rFonts w:ascii="Garamond" w:eastAsia="Garamond" w:hAnsi="Garamond" w:cs="Garamond"/>
          <w:b/>
          <w:bCs/>
        </w:rPr>
        <w:lastRenderedPageBreak/>
        <w:t>Erosion of Separation of Powers</w:t>
      </w:r>
    </w:p>
    <w:p w14:paraId="62F0C2B4" w14:textId="50470A96" w:rsidR="190FD26E" w:rsidRDefault="190FD26E" w:rsidP="72C24F92">
      <w:pPr>
        <w:spacing w:line="360" w:lineRule="auto"/>
        <w:jc w:val="both"/>
        <w:rPr>
          <w:rFonts w:ascii="Garamond" w:eastAsia="Garamond" w:hAnsi="Garamond" w:cs="Garamond"/>
        </w:rPr>
      </w:pPr>
      <w:r w:rsidRPr="72C24F92">
        <w:rPr>
          <w:rFonts w:ascii="Garamond" w:eastAsia="Garamond" w:hAnsi="Garamond" w:cs="Garamond"/>
        </w:rPr>
        <w:t xml:space="preserve">To encourage checks and balances and avoid conflicts of interest, the Constitution places a strong emphasis on the distinct </w:t>
      </w:r>
      <w:r w:rsidR="1AF542B1" w:rsidRPr="72C24F92">
        <w:rPr>
          <w:rFonts w:ascii="Garamond" w:eastAsia="Garamond" w:hAnsi="Garamond" w:cs="Garamond"/>
        </w:rPr>
        <w:t>separation</w:t>
      </w:r>
      <w:r w:rsidRPr="72C24F92">
        <w:rPr>
          <w:rFonts w:ascii="Garamond" w:eastAsia="Garamond" w:hAnsi="Garamond" w:cs="Garamond"/>
        </w:rPr>
        <w:t xml:space="preserve"> of powers between the Executive, Legislature, and Judiciary. The court ruled that by granting MPs an executive role in overseeing development projects, NGCDF compromised this </w:t>
      </w:r>
      <w:r w:rsidR="55D81EC1" w:rsidRPr="72C24F92">
        <w:rPr>
          <w:rFonts w:ascii="Garamond" w:eastAsia="Garamond" w:hAnsi="Garamond" w:cs="Garamond"/>
        </w:rPr>
        <w:t>separation of powers</w:t>
      </w:r>
      <w:r w:rsidRPr="72C24F92">
        <w:rPr>
          <w:rFonts w:ascii="Garamond" w:eastAsia="Garamond" w:hAnsi="Garamond" w:cs="Garamond"/>
        </w:rPr>
        <w:t>.</w:t>
      </w:r>
    </w:p>
    <w:p w14:paraId="4424A438" w14:textId="5D212FEF" w:rsidR="190FD26E" w:rsidRDefault="190FD26E" w:rsidP="72C24F92">
      <w:pPr>
        <w:spacing w:line="360" w:lineRule="auto"/>
        <w:jc w:val="both"/>
        <w:rPr>
          <w:rFonts w:ascii="Garamond" w:eastAsia="Garamond" w:hAnsi="Garamond" w:cs="Garamond"/>
        </w:rPr>
      </w:pPr>
      <w:r w:rsidRPr="72C24F92">
        <w:rPr>
          <w:rFonts w:ascii="Garamond" w:eastAsia="Garamond" w:hAnsi="Garamond" w:cs="Garamond"/>
          <w:b/>
          <w:bCs/>
        </w:rPr>
        <w:t>L</w:t>
      </w:r>
      <w:r w:rsidR="6A9848D3" w:rsidRPr="72C24F92">
        <w:rPr>
          <w:rFonts w:ascii="Garamond" w:eastAsia="Garamond" w:hAnsi="Garamond" w:cs="Garamond"/>
          <w:b/>
          <w:bCs/>
        </w:rPr>
        <w:t>egislators</w:t>
      </w:r>
      <w:r w:rsidRPr="72C24F92">
        <w:rPr>
          <w:rFonts w:ascii="Garamond" w:eastAsia="Garamond" w:hAnsi="Garamond" w:cs="Garamond"/>
          <w:b/>
          <w:bCs/>
        </w:rPr>
        <w:t xml:space="preserve"> </w:t>
      </w:r>
      <w:r w:rsidR="0660E4DA" w:rsidRPr="72C24F92">
        <w:rPr>
          <w:rFonts w:ascii="Garamond" w:eastAsia="Garamond" w:hAnsi="Garamond" w:cs="Garamond"/>
          <w:b/>
          <w:bCs/>
        </w:rPr>
        <w:t>as Executives</w:t>
      </w:r>
      <w:r w:rsidRPr="72C24F92">
        <w:rPr>
          <w:rFonts w:ascii="Garamond" w:eastAsia="Garamond" w:hAnsi="Garamond" w:cs="Garamond"/>
        </w:rPr>
        <w:t xml:space="preserve">: The Bill continues the unconstitutional blurring of roles by giving MPs and Senators authority over NGCDF, NGAAF, and the Senate Oversight Fund. Legislators are tasked with carrying out development initiatives, which leads to conflicts of interest and chances for political patronage. </w:t>
      </w:r>
      <w:bookmarkStart w:id="1" w:name="_Int_1VmAwzyr"/>
      <w:proofErr w:type="spellStart"/>
      <w:proofErr w:type="gramStart"/>
      <w:r w:rsidR="51F37B00" w:rsidRPr="72C24F92">
        <w:rPr>
          <w:rFonts w:ascii="Garamond" w:eastAsia="Garamond" w:hAnsi="Garamond" w:cs="Garamond"/>
        </w:rPr>
        <w:t>Their</w:t>
      </w:r>
      <w:bookmarkEnd w:id="1"/>
      <w:proofErr w:type="spellEnd"/>
      <w:r w:rsidR="51F37B00" w:rsidRPr="72C24F92">
        <w:rPr>
          <w:rFonts w:ascii="Garamond" w:eastAsia="Garamond" w:hAnsi="Garamond" w:cs="Garamond"/>
        </w:rPr>
        <w:t xml:space="preserve">  is</w:t>
      </w:r>
      <w:proofErr w:type="gramEnd"/>
      <w:r w:rsidR="51F37B00" w:rsidRPr="72C24F92">
        <w:rPr>
          <w:rFonts w:ascii="Garamond" w:eastAsia="Garamond" w:hAnsi="Garamond" w:cs="Garamond"/>
        </w:rPr>
        <w:t xml:space="preserve"> primary mandate is lawmaking and oversight.</w:t>
      </w:r>
    </w:p>
    <w:p w14:paraId="4244FF74" w14:textId="32CDC547" w:rsidR="20890888" w:rsidRDefault="20890888" w:rsidP="72C24F92">
      <w:pPr>
        <w:spacing w:line="360" w:lineRule="auto"/>
        <w:jc w:val="both"/>
        <w:rPr>
          <w:rFonts w:ascii="Garamond" w:eastAsia="Garamond" w:hAnsi="Garamond" w:cs="Garamond"/>
        </w:rPr>
      </w:pPr>
      <w:r w:rsidRPr="72C24F92">
        <w:rPr>
          <w:rFonts w:ascii="Garamond" w:eastAsia="Garamond" w:hAnsi="Garamond" w:cs="Garamond"/>
          <w:b/>
          <w:bCs/>
        </w:rPr>
        <w:t>Accountability Loophol</w:t>
      </w:r>
      <w:r w:rsidRPr="72C24F92">
        <w:rPr>
          <w:rFonts w:ascii="Garamond" w:eastAsia="Garamond" w:hAnsi="Garamond" w:cs="Garamond"/>
        </w:rPr>
        <w:t>e: The lack of impartial oversight procedures for these monies permits lawmakers to function without adequate scrutiny, raising the possibility of corruption and misappropriation of public funds. The accountability and transparency tenets of Article 10 are compromised.</w:t>
      </w:r>
    </w:p>
    <w:p w14:paraId="0A251140" w14:textId="595CAEA4" w:rsidR="305F0768" w:rsidRDefault="305F0768" w:rsidP="72C24F92">
      <w:pPr>
        <w:pStyle w:val="ListParagraph"/>
        <w:numPr>
          <w:ilvl w:val="0"/>
          <w:numId w:val="20"/>
        </w:numPr>
        <w:spacing w:line="360" w:lineRule="auto"/>
        <w:jc w:val="both"/>
        <w:rPr>
          <w:rFonts w:ascii="Garamond" w:eastAsia="Garamond" w:hAnsi="Garamond" w:cs="Garamond"/>
          <w:b/>
          <w:bCs/>
        </w:rPr>
      </w:pPr>
      <w:r w:rsidRPr="72C24F92">
        <w:rPr>
          <w:rFonts w:ascii="Garamond" w:eastAsia="Garamond" w:hAnsi="Garamond" w:cs="Garamond"/>
          <w:b/>
          <w:bCs/>
        </w:rPr>
        <w:t>Implications for Marginalized Communities</w:t>
      </w:r>
    </w:p>
    <w:p w14:paraId="58D824CB" w14:textId="0C09C874" w:rsidR="56D829AE" w:rsidRDefault="56D829AE" w:rsidP="72C24F92">
      <w:pPr>
        <w:spacing w:line="360" w:lineRule="auto"/>
        <w:jc w:val="both"/>
        <w:rPr>
          <w:rFonts w:ascii="Garamond" w:eastAsia="Garamond" w:hAnsi="Garamond" w:cs="Garamond"/>
        </w:rPr>
      </w:pPr>
      <w:r w:rsidRPr="72C24F92">
        <w:rPr>
          <w:rFonts w:ascii="Garamond" w:eastAsia="Garamond" w:hAnsi="Garamond" w:cs="Garamond"/>
        </w:rPr>
        <w:t xml:space="preserve">The needs of marginalized areas, as mandated by </w:t>
      </w:r>
      <w:r w:rsidRPr="72C24F92">
        <w:rPr>
          <w:rFonts w:ascii="Garamond" w:eastAsia="Garamond" w:hAnsi="Garamond" w:cs="Garamond"/>
          <w:b/>
          <w:bCs/>
        </w:rPr>
        <w:t xml:space="preserve">Article 204 </w:t>
      </w:r>
      <w:r w:rsidRPr="72C24F92">
        <w:rPr>
          <w:rFonts w:ascii="Garamond" w:eastAsia="Garamond" w:hAnsi="Garamond" w:cs="Garamond"/>
        </w:rPr>
        <w:t>of the Constitution</w:t>
      </w:r>
      <w:r w:rsidRPr="72C24F92">
        <w:rPr>
          <w:rStyle w:val="FootnoteReference"/>
          <w:rFonts w:ascii="Garamond" w:eastAsia="Garamond" w:hAnsi="Garamond" w:cs="Garamond"/>
        </w:rPr>
        <w:footnoteReference w:id="24"/>
      </w:r>
      <w:r w:rsidRPr="72C24F92">
        <w:rPr>
          <w:rFonts w:ascii="Garamond" w:eastAsia="Garamond" w:hAnsi="Garamond" w:cs="Garamond"/>
        </w:rPr>
        <w:t>, are not sufficiently addressed by the proposed funding. According to Auditor-General reports, the Equalization Fund, which was created to address systematic inequalities in access to essential services, has encountered several difficulties, such as underutilization and inadequate administration. Instead of strengthening these constitutional institutions, the Bill reroutes funds to politically motivated projects that don't specifically target underserved areas.</w:t>
      </w:r>
      <w:r w:rsidRPr="72C24F92">
        <w:rPr>
          <w:rStyle w:val="FootnoteReference"/>
          <w:rFonts w:ascii="Garamond" w:eastAsia="Garamond" w:hAnsi="Garamond" w:cs="Garamond"/>
        </w:rPr>
        <w:footnoteReference w:id="25"/>
      </w:r>
      <w:r w:rsidRPr="72C24F92">
        <w:rPr>
          <w:rStyle w:val="FootnoteReference"/>
          <w:rFonts w:ascii="Garamond" w:eastAsia="Garamond" w:hAnsi="Garamond" w:cs="Garamond"/>
        </w:rPr>
        <w:footnoteReference w:id="26"/>
      </w:r>
    </w:p>
    <w:p w14:paraId="0DE118AF" w14:textId="3E063B64" w:rsidR="56D829AE" w:rsidRDefault="56D829AE" w:rsidP="72C24F92">
      <w:pPr>
        <w:spacing w:line="360" w:lineRule="auto"/>
        <w:jc w:val="both"/>
        <w:rPr>
          <w:rFonts w:ascii="Garamond" w:eastAsia="Garamond" w:hAnsi="Garamond" w:cs="Garamond"/>
        </w:rPr>
      </w:pPr>
      <w:r w:rsidRPr="72C24F92">
        <w:rPr>
          <w:rFonts w:ascii="Garamond" w:eastAsia="Garamond" w:hAnsi="Garamond" w:cs="Garamond"/>
        </w:rPr>
        <w:t xml:space="preserve">The Bill puts political </w:t>
      </w:r>
      <w:r w:rsidR="6021A8A6" w:rsidRPr="72C24F92">
        <w:rPr>
          <w:rFonts w:ascii="Garamond" w:eastAsia="Garamond" w:hAnsi="Garamond" w:cs="Garamond"/>
        </w:rPr>
        <w:t>prioritie</w:t>
      </w:r>
      <w:r w:rsidRPr="72C24F92">
        <w:rPr>
          <w:rFonts w:ascii="Garamond" w:eastAsia="Garamond" w:hAnsi="Garamond" w:cs="Garamond"/>
        </w:rPr>
        <w:t xml:space="preserve">s ahead of equitable development by giving lawmakers control over </w:t>
      </w:r>
      <w:r w:rsidR="5DD77ACE" w:rsidRPr="72C24F92">
        <w:rPr>
          <w:rFonts w:ascii="Garamond" w:eastAsia="Garamond" w:hAnsi="Garamond" w:cs="Garamond"/>
        </w:rPr>
        <w:t xml:space="preserve">this </w:t>
      </w:r>
      <w:r w:rsidRPr="72C24F92">
        <w:rPr>
          <w:rFonts w:ascii="Garamond" w:eastAsia="Garamond" w:hAnsi="Garamond" w:cs="Garamond"/>
        </w:rPr>
        <w:t>money. By ignoring populations that need immediate attention and favoring politically powerful places disproportionately, this strategy runs the risk of escalating already-existing disparities.</w:t>
      </w:r>
    </w:p>
    <w:p w14:paraId="718CB70D" w14:textId="06E89DC9" w:rsidR="6E584BA4" w:rsidRDefault="6E584BA4" w:rsidP="72C24F92">
      <w:pPr>
        <w:pStyle w:val="ListParagraph"/>
        <w:numPr>
          <w:ilvl w:val="0"/>
          <w:numId w:val="21"/>
        </w:numPr>
        <w:spacing w:line="360" w:lineRule="auto"/>
        <w:jc w:val="both"/>
        <w:rPr>
          <w:rFonts w:ascii="Garamond" w:eastAsia="Garamond" w:hAnsi="Garamond" w:cs="Garamond"/>
          <w:b/>
          <w:bCs/>
        </w:rPr>
      </w:pPr>
      <w:r w:rsidRPr="72C24F92">
        <w:rPr>
          <w:rFonts w:ascii="Garamond" w:eastAsia="Garamond" w:hAnsi="Garamond" w:cs="Garamond"/>
          <w:b/>
          <w:bCs/>
        </w:rPr>
        <w:t xml:space="preserve">Vague Language </w:t>
      </w:r>
    </w:p>
    <w:p w14:paraId="3819A32C" w14:textId="64C6DB4F" w:rsidR="18563CE2" w:rsidRDefault="18563CE2" w:rsidP="72C24F92">
      <w:pPr>
        <w:spacing w:line="360" w:lineRule="auto"/>
        <w:jc w:val="both"/>
        <w:rPr>
          <w:rFonts w:ascii="Garamond" w:eastAsia="Garamond" w:hAnsi="Garamond" w:cs="Garamond"/>
        </w:rPr>
      </w:pPr>
      <w:r w:rsidRPr="72C24F92">
        <w:rPr>
          <w:rFonts w:ascii="Garamond" w:eastAsia="Garamond" w:hAnsi="Garamond" w:cs="Garamond"/>
        </w:rPr>
        <w:lastRenderedPageBreak/>
        <w:t xml:space="preserve">The bill's </w:t>
      </w:r>
      <w:r w:rsidR="543256F3" w:rsidRPr="72C24F92">
        <w:rPr>
          <w:rFonts w:ascii="Garamond" w:eastAsia="Garamond" w:hAnsi="Garamond" w:cs="Garamond"/>
        </w:rPr>
        <w:t>language</w:t>
      </w:r>
      <w:r w:rsidRPr="72C24F92">
        <w:rPr>
          <w:rFonts w:ascii="Garamond" w:eastAsia="Garamond" w:hAnsi="Garamond" w:cs="Garamond"/>
        </w:rPr>
        <w:t xml:space="preserve"> is extremely ambiguous, which compromises its ability to enforce the 2010 Kenyan Constitution's tenets of accountability, transparency, and equity. The efficacy of public financial management is jeopardized by vague and unclear phrases and a lack of definition in important clauses. </w:t>
      </w:r>
    </w:p>
    <w:p w14:paraId="00E9714A" w14:textId="26C7E966" w:rsidR="18563CE2" w:rsidRDefault="18563CE2" w:rsidP="72C24F92">
      <w:pPr>
        <w:spacing w:line="360" w:lineRule="auto"/>
        <w:jc w:val="both"/>
        <w:rPr>
          <w:rFonts w:ascii="Garamond" w:eastAsia="Garamond" w:hAnsi="Garamond" w:cs="Garamond"/>
        </w:rPr>
      </w:pPr>
      <w:r w:rsidRPr="72C24F92">
        <w:rPr>
          <w:rFonts w:ascii="Garamond" w:eastAsia="Garamond" w:hAnsi="Garamond" w:cs="Garamond"/>
        </w:rPr>
        <w:t xml:space="preserve">A significant issue with the Bill is that it omits important definitions for terminology like </w:t>
      </w:r>
      <w:r w:rsidRPr="72C24F92">
        <w:rPr>
          <w:rFonts w:ascii="Garamond" w:eastAsia="Garamond" w:hAnsi="Garamond" w:cs="Garamond"/>
          <w:b/>
          <w:bCs/>
        </w:rPr>
        <w:t>"development projects," "empowerment,"</w:t>
      </w:r>
      <w:r w:rsidRPr="72C24F92">
        <w:rPr>
          <w:rFonts w:ascii="Garamond" w:eastAsia="Garamond" w:hAnsi="Garamond" w:cs="Garamond"/>
        </w:rPr>
        <w:t xml:space="preserve"> and </w:t>
      </w:r>
      <w:r w:rsidRPr="72C24F92">
        <w:rPr>
          <w:rFonts w:ascii="Garamond" w:eastAsia="Garamond" w:hAnsi="Garamond" w:cs="Garamond"/>
          <w:b/>
          <w:bCs/>
        </w:rPr>
        <w:t>"oversight."</w:t>
      </w:r>
      <w:r w:rsidR="76E9026C" w:rsidRPr="72C24F92">
        <w:rPr>
          <w:rFonts w:ascii="Garamond" w:eastAsia="Garamond" w:hAnsi="Garamond" w:cs="Garamond"/>
        </w:rPr>
        <w:t xml:space="preserve"> These terms are pivotal to determining the scope and application of t</w:t>
      </w:r>
      <w:r w:rsidRPr="72C24F92">
        <w:rPr>
          <w:rFonts w:ascii="Garamond" w:eastAsia="Garamond" w:hAnsi="Garamond" w:cs="Garamond"/>
        </w:rPr>
        <w:t>he National Government Constituencies Development Fund (NGCDF), National Government Affirmative Action Fund (NGAAF), and Senate Oversight Fund</w:t>
      </w:r>
      <w:r w:rsidR="316E5D8C" w:rsidRPr="72C24F92">
        <w:rPr>
          <w:rFonts w:ascii="Garamond" w:eastAsia="Garamond" w:hAnsi="Garamond" w:cs="Garamond"/>
        </w:rPr>
        <w:t>. However, their ambiguous nature risks allowing discretionary and politically motivated interpretations.</w:t>
      </w:r>
    </w:p>
    <w:p w14:paraId="66187E99" w14:textId="66EDF3AE" w:rsidR="0966C4EB" w:rsidRDefault="0966C4EB" w:rsidP="72C24F92">
      <w:pPr>
        <w:spacing w:line="360" w:lineRule="auto"/>
        <w:jc w:val="both"/>
        <w:rPr>
          <w:rFonts w:ascii="Garamond" w:eastAsia="Garamond" w:hAnsi="Garamond" w:cs="Garamond"/>
        </w:rPr>
      </w:pPr>
      <w:r w:rsidRPr="72C24F92">
        <w:rPr>
          <w:rFonts w:ascii="Garamond" w:eastAsia="Garamond" w:hAnsi="Garamond" w:cs="Garamond"/>
        </w:rPr>
        <w:t xml:space="preserve">The Bill's specified oversight mechanisms provide another problem. Although it gives authorities to create administrative rules for fund administration, it doesn't specify specific rules or minimal requirements to guide these rules. Inconsistencies between counties and constituencies could result from an over-reliance on administrative discretion. </w:t>
      </w:r>
      <w:r w:rsidR="449DA3FE" w:rsidRPr="72C24F92">
        <w:rPr>
          <w:rFonts w:ascii="Garamond" w:eastAsia="Garamond" w:hAnsi="Garamond" w:cs="Garamond"/>
        </w:rPr>
        <w:t>I</w:t>
      </w:r>
      <w:r w:rsidRPr="72C24F92">
        <w:rPr>
          <w:rFonts w:ascii="Garamond" w:eastAsia="Garamond" w:hAnsi="Garamond" w:cs="Garamond"/>
        </w:rPr>
        <w:t xml:space="preserve">n </w:t>
      </w:r>
      <w:r w:rsidRPr="72C24F92">
        <w:rPr>
          <w:rFonts w:ascii="Garamond" w:eastAsia="Garamond" w:hAnsi="Garamond" w:cs="Garamond"/>
          <w:b/>
          <w:bCs/>
        </w:rPr>
        <w:t>Institute of Social Accountability (TISA) &amp; Others v. National Assembly &amp; 4 Others</w:t>
      </w:r>
      <w:r w:rsidR="43026C4E" w:rsidRPr="72C24F92">
        <w:rPr>
          <w:rFonts w:ascii="Garamond" w:eastAsia="Garamond" w:hAnsi="Garamond" w:cs="Garamond"/>
          <w:b/>
          <w:bCs/>
        </w:rPr>
        <w:t xml:space="preserve"> 2015</w:t>
      </w:r>
      <w:r w:rsidRPr="72C24F92">
        <w:rPr>
          <w:rStyle w:val="FootnoteReference"/>
          <w:rFonts w:ascii="Garamond" w:eastAsia="Garamond" w:hAnsi="Garamond" w:cs="Garamond"/>
          <w:b/>
          <w:bCs/>
        </w:rPr>
        <w:footnoteReference w:id="27"/>
      </w:r>
      <w:r w:rsidRPr="72C24F92">
        <w:rPr>
          <w:rFonts w:ascii="Garamond" w:eastAsia="Garamond" w:hAnsi="Garamond" w:cs="Garamond"/>
          <w:b/>
          <w:bCs/>
        </w:rPr>
        <w:t xml:space="preserve"> </w:t>
      </w:r>
      <w:r w:rsidRPr="72C24F92">
        <w:rPr>
          <w:rFonts w:ascii="Garamond" w:eastAsia="Garamond" w:hAnsi="Garamond" w:cs="Garamond"/>
        </w:rPr>
        <w:t>brought to light the hazards of having too much administrative discretion, pointing out that imprecise frameworks may result in inconsistent and unaccountable resource distribution. The p</w:t>
      </w:r>
      <w:r w:rsidR="0FC806FD" w:rsidRPr="72C24F92">
        <w:rPr>
          <w:rFonts w:ascii="Garamond" w:eastAsia="Garamond" w:hAnsi="Garamond" w:cs="Garamond"/>
        </w:rPr>
        <w:t>roposed</w:t>
      </w:r>
      <w:r w:rsidRPr="72C24F92">
        <w:rPr>
          <w:rFonts w:ascii="Garamond" w:eastAsia="Garamond" w:hAnsi="Garamond" w:cs="Garamond"/>
        </w:rPr>
        <w:t xml:space="preserve"> funds are susceptible to political meddling and poor management in the absence of defined guidelines.</w:t>
      </w:r>
    </w:p>
    <w:p w14:paraId="1409FA56" w14:textId="129DF0BC" w:rsidR="459B0E39" w:rsidRDefault="459B0E39" w:rsidP="72C24F92">
      <w:pPr>
        <w:spacing w:line="360" w:lineRule="auto"/>
        <w:jc w:val="both"/>
        <w:rPr>
          <w:rFonts w:ascii="Garamond" w:eastAsia="Garamond" w:hAnsi="Garamond" w:cs="Garamond"/>
        </w:rPr>
      </w:pPr>
      <w:r w:rsidRPr="72C24F92">
        <w:rPr>
          <w:rFonts w:ascii="Garamond" w:eastAsia="Garamond" w:hAnsi="Garamond" w:cs="Garamond"/>
        </w:rPr>
        <w:t xml:space="preserve">Additionally, the Bill does not specify penalties for noncompliance, such as financial mismanagement, noncompliance with reporting requirements, or violations of constitutional principles. </w:t>
      </w:r>
    </w:p>
    <w:p w14:paraId="5063FD40" w14:textId="6FB40DC7" w:rsidR="06D532AF" w:rsidRDefault="06D532AF" w:rsidP="72C24F92">
      <w:pPr>
        <w:spacing w:line="360" w:lineRule="auto"/>
        <w:jc w:val="both"/>
        <w:rPr>
          <w:rFonts w:ascii="Garamond" w:eastAsia="Garamond" w:hAnsi="Garamond" w:cs="Garamond"/>
        </w:rPr>
      </w:pPr>
      <w:r w:rsidRPr="72C24F92">
        <w:rPr>
          <w:rFonts w:ascii="Garamond" w:eastAsia="Garamond" w:hAnsi="Garamond" w:cs="Garamond"/>
        </w:rPr>
        <w:t>T</w:t>
      </w:r>
      <w:r w:rsidR="459B0E39" w:rsidRPr="72C24F92">
        <w:rPr>
          <w:rFonts w:ascii="Garamond" w:eastAsia="Garamond" w:hAnsi="Garamond" w:cs="Garamond"/>
        </w:rPr>
        <w:t>he values of equity and fairness stated in Articles 203 and 204 of the Constitution</w:t>
      </w:r>
      <w:r w:rsidRPr="72C24F92">
        <w:rPr>
          <w:rStyle w:val="FootnoteReference"/>
          <w:rFonts w:ascii="Garamond" w:eastAsia="Garamond" w:hAnsi="Garamond" w:cs="Garamond"/>
        </w:rPr>
        <w:footnoteReference w:id="28"/>
      </w:r>
      <w:r w:rsidR="459B0E39" w:rsidRPr="72C24F92">
        <w:rPr>
          <w:rFonts w:ascii="Garamond" w:eastAsia="Garamond" w:hAnsi="Garamond" w:cs="Garamond"/>
        </w:rPr>
        <w:t xml:space="preserve"> are compromised by the absence of specific </w:t>
      </w:r>
      <w:r w:rsidR="459B0E39" w:rsidRPr="72C24F92">
        <w:rPr>
          <w:rFonts w:ascii="Garamond" w:eastAsia="Garamond" w:hAnsi="Garamond" w:cs="Garamond"/>
          <w:b/>
          <w:bCs/>
        </w:rPr>
        <w:t>allocation criteria.</w:t>
      </w:r>
      <w:r w:rsidR="459B0E39" w:rsidRPr="72C24F92">
        <w:rPr>
          <w:rFonts w:ascii="Garamond" w:eastAsia="Garamond" w:hAnsi="Garamond" w:cs="Garamond"/>
        </w:rPr>
        <w:t xml:space="preserve"> Poor management and underutilization have already caused problems for the </w:t>
      </w:r>
      <w:proofErr w:type="spellStart"/>
      <w:r w:rsidR="459B0E39" w:rsidRPr="72C24F92">
        <w:rPr>
          <w:rFonts w:ascii="Garamond" w:eastAsia="Garamond" w:hAnsi="Garamond" w:cs="Garamond"/>
        </w:rPr>
        <w:t>Equalisation</w:t>
      </w:r>
      <w:proofErr w:type="spellEnd"/>
      <w:r w:rsidR="459B0E39" w:rsidRPr="72C24F92">
        <w:rPr>
          <w:rFonts w:ascii="Garamond" w:eastAsia="Garamond" w:hAnsi="Garamond" w:cs="Garamond"/>
        </w:rPr>
        <w:t xml:space="preserve"> Fund, which was created to alleviate imbalances in underserved communities.</w:t>
      </w:r>
      <w:r w:rsidR="76B147EF" w:rsidRPr="72C24F92">
        <w:rPr>
          <w:rFonts w:ascii="Garamond" w:eastAsia="Garamond" w:hAnsi="Garamond" w:cs="Garamond"/>
        </w:rPr>
        <w:t xml:space="preserve"> The Bill runs the danger of exacerbating inequality by neglecting to incorporate these factors into the new funds. In </w:t>
      </w:r>
      <w:r w:rsidR="76B147EF" w:rsidRPr="72C24F92">
        <w:rPr>
          <w:rFonts w:ascii="Garamond" w:eastAsia="Garamond" w:hAnsi="Garamond" w:cs="Garamond"/>
          <w:b/>
          <w:bCs/>
        </w:rPr>
        <w:t xml:space="preserve">Adrian </w:t>
      </w:r>
      <w:proofErr w:type="spellStart"/>
      <w:r w:rsidR="76B147EF" w:rsidRPr="72C24F92">
        <w:rPr>
          <w:rFonts w:ascii="Garamond" w:eastAsia="Garamond" w:hAnsi="Garamond" w:cs="Garamond"/>
          <w:b/>
          <w:bCs/>
        </w:rPr>
        <w:t>Kamotho</w:t>
      </w:r>
      <w:proofErr w:type="spellEnd"/>
      <w:r w:rsidR="76B147EF" w:rsidRPr="72C24F92">
        <w:rPr>
          <w:rFonts w:ascii="Garamond" w:eastAsia="Garamond" w:hAnsi="Garamond" w:cs="Garamond"/>
          <w:b/>
          <w:bCs/>
        </w:rPr>
        <w:t xml:space="preserve"> </w:t>
      </w:r>
      <w:proofErr w:type="spellStart"/>
      <w:r w:rsidR="76B147EF" w:rsidRPr="72C24F92">
        <w:rPr>
          <w:rFonts w:ascii="Garamond" w:eastAsia="Garamond" w:hAnsi="Garamond" w:cs="Garamond"/>
          <w:b/>
          <w:bCs/>
        </w:rPr>
        <w:t>Njenga</w:t>
      </w:r>
      <w:proofErr w:type="spellEnd"/>
      <w:r w:rsidR="76B147EF" w:rsidRPr="72C24F92">
        <w:rPr>
          <w:rFonts w:ascii="Garamond" w:eastAsia="Garamond" w:hAnsi="Garamond" w:cs="Garamond"/>
          <w:b/>
          <w:bCs/>
        </w:rPr>
        <w:t xml:space="preserve"> v. Council of Governors &amp; Others (2020)</w:t>
      </w:r>
      <w:r w:rsidRPr="72C24F92">
        <w:rPr>
          <w:rStyle w:val="FootnoteReference"/>
          <w:rFonts w:ascii="Garamond" w:eastAsia="Garamond" w:hAnsi="Garamond" w:cs="Garamond"/>
        </w:rPr>
        <w:footnoteReference w:id="29"/>
      </w:r>
      <w:r w:rsidR="76B147EF" w:rsidRPr="72C24F92">
        <w:rPr>
          <w:rFonts w:ascii="Garamond" w:eastAsia="Garamond" w:hAnsi="Garamond" w:cs="Garamond"/>
        </w:rPr>
        <w:t>, the court's ruling reiterated the necessity of budgetary frameworks that give priority to underserved groups and make sure that resource distribution complies with constitutional requirements.</w:t>
      </w:r>
    </w:p>
    <w:p w14:paraId="557E8080" w14:textId="4715034D" w:rsidR="76B147EF" w:rsidRDefault="76B147EF" w:rsidP="72C24F92">
      <w:pPr>
        <w:spacing w:line="360" w:lineRule="auto"/>
        <w:jc w:val="both"/>
        <w:rPr>
          <w:rFonts w:ascii="Garamond" w:eastAsia="Garamond" w:hAnsi="Garamond" w:cs="Garamond"/>
          <w:b/>
          <w:bCs/>
        </w:rPr>
      </w:pPr>
      <w:r w:rsidRPr="72C24F92">
        <w:rPr>
          <w:rFonts w:ascii="Garamond" w:eastAsia="Garamond" w:hAnsi="Garamond" w:cs="Garamond"/>
        </w:rPr>
        <w:lastRenderedPageBreak/>
        <w:t>Lastly, the Bill's ambiguous wording reduces the impact of its declared goals. The Bill makes it challenging to track developments and assess the effects of the proposed</w:t>
      </w:r>
      <w:r w:rsidR="3BD66AAE" w:rsidRPr="72C24F92">
        <w:rPr>
          <w:rFonts w:ascii="Garamond" w:eastAsia="Garamond" w:hAnsi="Garamond" w:cs="Garamond"/>
        </w:rPr>
        <w:t xml:space="preserve"> funds</w:t>
      </w:r>
      <w:r w:rsidRPr="72C24F92">
        <w:rPr>
          <w:rFonts w:ascii="Garamond" w:eastAsia="Garamond" w:hAnsi="Garamond" w:cs="Garamond"/>
        </w:rPr>
        <w:t xml:space="preserve"> by omitting precise success criteria or quantifiable results.</w:t>
      </w:r>
      <w:r w:rsidR="03DEB925" w:rsidRPr="72C24F92">
        <w:rPr>
          <w:rFonts w:ascii="Garamond" w:eastAsia="Garamond" w:hAnsi="Garamond" w:cs="Garamond"/>
        </w:rPr>
        <w:t xml:space="preserve"> </w:t>
      </w:r>
      <w:r w:rsidR="07822AF1" w:rsidRPr="72C24F92">
        <w:rPr>
          <w:rFonts w:ascii="Garamond" w:eastAsia="Garamond" w:hAnsi="Garamond" w:cs="Garamond"/>
        </w:rPr>
        <w:t>In the book,</w:t>
      </w:r>
      <w:r w:rsidR="07822AF1" w:rsidRPr="72C24F92">
        <w:rPr>
          <w:rFonts w:ascii="system-ui" w:eastAsia="system-ui" w:hAnsi="system-ui" w:cs="system-ui"/>
        </w:rPr>
        <w:t xml:space="preserve"> </w:t>
      </w:r>
      <w:r w:rsidR="07822AF1" w:rsidRPr="72C24F92">
        <w:rPr>
          <w:rFonts w:ascii="Garamond" w:eastAsia="Garamond" w:hAnsi="Garamond" w:cs="Garamond"/>
          <w:b/>
          <w:bCs/>
        </w:rPr>
        <w:t>Guidelines on Democratic Lawmaking for Better Laws, published by the OSCE Office for Democratic Institutions and Human Rights (ODIHR)</w:t>
      </w:r>
      <w:r w:rsidR="6575989B" w:rsidRPr="72C24F92">
        <w:rPr>
          <w:rFonts w:ascii="Garamond" w:eastAsia="Garamond" w:hAnsi="Garamond" w:cs="Garamond"/>
          <w:b/>
          <w:bCs/>
        </w:rPr>
        <w:t>, i</w:t>
      </w:r>
      <w:r w:rsidR="6575989B" w:rsidRPr="72C24F92">
        <w:rPr>
          <w:rFonts w:ascii="Garamond" w:eastAsia="Garamond" w:hAnsi="Garamond" w:cs="Garamond"/>
        </w:rPr>
        <w:t>t</w:t>
      </w:r>
      <w:r w:rsidR="07822AF1" w:rsidRPr="72C24F92">
        <w:rPr>
          <w:rFonts w:ascii="Garamond" w:eastAsia="Garamond" w:hAnsi="Garamond" w:cs="Garamond"/>
        </w:rPr>
        <w:t xml:space="preserve"> is stated that "</w:t>
      </w:r>
      <w:r w:rsidR="07822AF1" w:rsidRPr="72C24F92">
        <w:rPr>
          <w:rFonts w:ascii="Garamond" w:eastAsia="Garamond" w:hAnsi="Garamond" w:cs="Garamond"/>
          <w:b/>
          <w:bCs/>
        </w:rPr>
        <w:t>the quality of laws is intrinsically linked to the process that led to their adoption, and a lack of clarity and precision in legislative frameworks risks undermining the rule of law and public trust in governance.</w:t>
      </w:r>
      <w:r w:rsidR="0BE3279C" w:rsidRPr="72C24F92">
        <w:rPr>
          <w:rFonts w:ascii="Garamond" w:eastAsia="Garamond" w:hAnsi="Garamond" w:cs="Garamond"/>
          <w:b/>
          <w:bCs/>
        </w:rPr>
        <w:t>”</w:t>
      </w:r>
      <w:r w:rsidRPr="72C24F92">
        <w:rPr>
          <w:rStyle w:val="FootnoteReference"/>
          <w:rFonts w:ascii="Garamond" w:eastAsia="Garamond" w:hAnsi="Garamond" w:cs="Garamond"/>
          <w:b/>
          <w:bCs/>
        </w:rPr>
        <w:footnoteReference w:id="30"/>
      </w:r>
    </w:p>
    <w:p w14:paraId="45E30AB4" w14:textId="46ACC727" w:rsidR="19C7DD4E" w:rsidRDefault="19C7DD4E" w:rsidP="72C24F92">
      <w:pPr>
        <w:spacing w:line="360" w:lineRule="auto"/>
        <w:jc w:val="both"/>
        <w:rPr>
          <w:rFonts w:ascii="Garamond" w:eastAsia="Garamond" w:hAnsi="Garamond" w:cs="Garamond"/>
          <w:b/>
          <w:bCs/>
        </w:rPr>
      </w:pPr>
      <w:r w:rsidRPr="72C24F92">
        <w:rPr>
          <w:rFonts w:ascii="Garamond" w:eastAsia="Garamond" w:hAnsi="Garamond" w:cs="Garamond"/>
          <w:b/>
          <w:bCs/>
        </w:rPr>
        <w:t>Applicable Case Law</w:t>
      </w:r>
    </w:p>
    <w:p w14:paraId="4BBEAF52" w14:textId="7BBA061A" w:rsidR="69EE5265" w:rsidRDefault="69EE5265" w:rsidP="72C24F92">
      <w:pPr>
        <w:spacing w:before="240" w:after="240" w:line="360" w:lineRule="auto"/>
        <w:jc w:val="both"/>
        <w:rPr>
          <w:rFonts w:ascii="Garamond" w:eastAsia="Garamond" w:hAnsi="Garamond" w:cs="Garamond"/>
        </w:rPr>
      </w:pPr>
      <w:r w:rsidRPr="72C24F92">
        <w:rPr>
          <w:rFonts w:ascii="Garamond" w:eastAsia="Garamond" w:hAnsi="Garamond" w:cs="Garamond"/>
        </w:rPr>
        <w:t xml:space="preserve">The case of </w:t>
      </w:r>
      <w:r w:rsidRPr="72C24F92">
        <w:rPr>
          <w:rFonts w:ascii="Garamond" w:eastAsia="Garamond" w:hAnsi="Garamond" w:cs="Garamond"/>
          <w:b/>
          <w:bCs/>
        </w:rPr>
        <w:t>Council of Governors &amp; 47 Others v. Attorney General &amp; Another (2020)</w:t>
      </w:r>
      <w:r w:rsidRPr="72C24F92">
        <w:rPr>
          <w:rStyle w:val="FootnoteReference"/>
          <w:rFonts w:ascii="Garamond" w:eastAsia="Garamond" w:hAnsi="Garamond" w:cs="Garamond"/>
        </w:rPr>
        <w:footnoteReference w:id="31"/>
      </w:r>
      <w:r w:rsidRPr="72C24F92">
        <w:rPr>
          <w:rFonts w:ascii="Garamond" w:eastAsia="Garamond" w:hAnsi="Garamond" w:cs="Garamond"/>
        </w:rPr>
        <w:t xml:space="preserve"> underscores the constitutional requirement for clear distinctions between national and county functions. The court ruled that funds for devolved functions must be channeled through county governments to prevent duplication and inefficiencies. The proposed funds under the Bill risk violating this principle by reallocating resources to MPs and Senators for functions that overlap with those of county governments. This duplication could lead to confusion, inefficiencies, and a dilution of devolution’s intended benefits.</w:t>
      </w:r>
    </w:p>
    <w:p w14:paraId="10C48C7D" w14:textId="15C9F808" w:rsidR="72C24F92" w:rsidRPr="00E37675" w:rsidRDefault="1809653D" w:rsidP="00E37675">
      <w:pPr>
        <w:spacing w:line="360" w:lineRule="auto"/>
        <w:jc w:val="both"/>
        <w:rPr>
          <w:rFonts w:ascii="Garamond" w:eastAsia="Garamond" w:hAnsi="Garamond" w:cs="Garamond"/>
        </w:rPr>
      </w:pPr>
      <w:r w:rsidRPr="72C24F92">
        <w:rPr>
          <w:rFonts w:ascii="Garamond" w:eastAsia="Garamond" w:hAnsi="Garamond" w:cs="Garamond"/>
        </w:rPr>
        <w:t xml:space="preserve">In the case of </w:t>
      </w:r>
      <w:proofErr w:type="spellStart"/>
      <w:r w:rsidRPr="72C24F92">
        <w:rPr>
          <w:rFonts w:ascii="Garamond" w:eastAsia="Garamond" w:hAnsi="Garamond" w:cs="Garamond"/>
          <w:b/>
          <w:bCs/>
        </w:rPr>
        <w:t>Gikonyo</w:t>
      </w:r>
      <w:proofErr w:type="spellEnd"/>
      <w:r w:rsidRPr="72C24F92">
        <w:rPr>
          <w:rFonts w:ascii="Garamond" w:eastAsia="Garamond" w:hAnsi="Garamond" w:cs="Garamond"/>
          <w:b/>
          <w:bCs/>
        </w:rPr>
        <w:t xml:space="preserve"> &amp; another v National Assembly of Kenya &amp; 4 others</w:t>
      </w:r>
      <w:r w:rsidRPr="72C24F92">
        <w:rPr>
          <w:rStyle w:val="FootnoteReference"/>
          <w:rFonts w:ascii="Garamond" w:eastAsia="Garamond" w:hAnsi="Garamond" w:cs="Garamond"/>
          <w:b/>
          <w:bCs/>
        </w:rPr>
        <w:footnoteReference w:id="32"/>
      </w:r>
      <w:r w:rsidRPr="72C24F92">
        <w:rPr>
          <w:rFonts w:ascii="Garamond" w:eastAsia="Garamond" w:hAnsi="Garamond" w:cs="Garamond"/>
          <w:b/>
          <w:bCs/>
        </w:rPr>
        <w:t>,</w:t>
      </w:r>
      <w:r w:rsidRPr="72C24F92">
        <w:rPr>
          <w:rFonts w:ascii="Garamond" w:eastAsia="Garamond" w:hAnsi="Garamond" w:cs="Garamond"/>
        </w:rPr>
        <w:t xml:space="preserve"> the High Court held that the constituency is not a unit of service delivery. The creation of the constituency as a service delivery unit leads to multiple channels of funding and implementation of projects, wastage of public resources and lack of clarity. All these undermine the principle of devolution and the architecture of the Constitution on the two levels of government, separation of powers and the primary oversight role of Parliament. By creating a fund that is administered by the Constituency, which is a unit of political representation for legislative and oversight roles, however far removed, the Member of the National Assembly may be, in the management and administration of the Fund, runs afoul the doctrine of separation of powers</w:t>
      </w:r>
    </w:p>
    <w:p w14:paraId="29182188" w14:textId="6999A08E" w:rsidR="2E208757" w:rsidRDefault="2E208757" w:rsidP="72C24F92">
      <w:pPr>
        <w:spacing w:before="240" w:after="240" w:line="360" w:lineRule="auto"/>
        <w:jc w:val="both"/>
        <w:rPr>
          <w:rFonts w:ascii="Garamond" w:eastAsia="Garamond" w:hAnsi="Garamond" w:cs="Garamond"/>
          <w:b/>
          <w:bCs/>
        </w:rPr>
      </w:pPr>
      <w:r w:rsidRPr="72C24F92">
        <w:rPr>
          <w:rFonts w:ascii="Garamond" w:eastAsia="Garamond" w:hAnsi="Garamond" w:cs="Garamond"/>
          <w:b/>
          <w:bCs/>
        </w:rPr>
        <w:t>Conclusion</w:t>
      </w:r>
    </w:p>
    <w:p w14:paraId="3E6393EB" w14:textId="463484A5" w:rsidR="5724BAA9" w:rsidRDefault="5724BAA9" w:rsidP="72C24F92">
      <w:pPr>
        <w:spacing w:line="360" w:lineRule="auto"/>
        <w:jc w:val="both"/>
        <w:rPr>
          <w:rFonts w:ascii="Garamond" w:eastAsia="Garamond" w:hAnsi="Garamond" w:cs="Garamond"/>
        </w:rPr>
      </w:pPr>
      <w:r w:rsidRPr="72C24F92">
        <w:rPr>
          <w:rFonts w:ascii="Garamond" w:eastAsia="Garamond" w:hAnsi="Garamond" w:cs="Garamond"/>
          <w:color w:val="000000" w:themeColor="text1"/>
        </w:rPr>
        <w:lastRenderedPageBreak/>
        <w:t xml:space="preserve">ICJ-Kenya remains committed to promoting constitutional governance, transparency, and equity. The proposed amendment Bill, which introduces the NGCDF, NGAAF, and Senate Oversight Fund, poses a threat to these principles by reinforcing structural inefficiencies, unequal resource distribution, and inadequate accountability. </w:t>
      </w:r>
    </w:p>
    <w:p w14:paraId="411738B6" w14:textId="2F3717CA" w:rsidR="5724BAA9" w:rsidRDefault="5724BAA9" w:rsidP="72C24F92">
      <w:pPr>
        <w:spacing w:line="360" w:lineRule="auto"/>
        <w:jc w:val="both"/>
        <w:rPr>
          <w:rFonts w:ascii="Garamond" w:eastAsia="Garamond" w:hAnsi="Garamond" w:cs="Garamond"/>
        </w:rPr>
      </w:pPr>
      <w:r w:rsidRPr="72C24F92">
        <w:rPr>
          <w:rFonts w:ascii="Garamond" w:eastAsia="Garamond" w:hAnsi="Garamond" w:cs="Garamond"/>
          <w:color w:val="000000" w:themeColor="text1"/>
        </w:rPr>
        <w:t xml:space="preserve">The NGCDF has faced longstanding criticism for its mismanagement, as demonstrated in the case of </w:t>
      </w:r>
      <w:proofErr w:type="spellStart"/>
      <w:r w:rsidRPr="72C24F92">
        <w:rPr>
          <w:rFonts w:ascii="Garamond" w:eastAsia="Garamond" w:hAnsi="Garamond" w:cs="Garamond"/>
          <w:b/>
          <w:bCs/>
          <w:color w:val="000000" w:themeColor="text1"/>
        </w:rPr>
        <w:t>Katiba</w:t>
      </w:r>
      <w:proofErr w:type="spellEnd"/>
      <w:r w:rsidRPr="72C24F92">
        <w:rPr>
          <w:rFonts w:ascii="Garamond" w:eastAsia="Garamond" w:hAnsi="Garamond" w:cs="Garamond"/>
          <w:b/>
          <w:bCs/>
          <w:color w:val="000000" w:themeColor="text1"/>
        </w:rPr>
        <w:t xml:space="preserve"> Institute v. National Government Constituencies Development Fund Board &amp; Others.</w:t>
      </w:r>
      <w:r w:rsidRPr="72C24F92">
        <w:rPr>
          <w:rFonts w:ascii="Garamond" w:eastAsia="Garamond" w:hAnsi="Garamond" w:cs="Garamond"/>
          <w:color w:val="000000" w:themeColor="text1"/>
        </w:rPr>
        <w:t xml:space="preserve"> The proposed Bill replicates this flawed model without addressing its underlying issues. The introduction of the NGAAF and Senate Oversight Fund further complicates the situation, channeling resources into politically influenced entities at the detriment of underprivileged regions and effective resource management. </w:t>
      </w:r>
    </w:p>
    <w:p w14:paraId="38D7FC66" w14:textId="4501DDD0" w:rsidR="5724BAA9" w:rsidRDefault="5724BAA9" w:rsidP="72C24F92">
      <w:pPr>
        <w:spacing w:line="360" w:lineRule="auto"/>
        <w:jc w:val="both"/>
        <w:rPr>
          <w:rFonts w:ascii="Garamond" w:eastAsia="Garamond" w:hAnsi="Garamond" w:cs="Garamond"/>
          <w:color w:val="000000" w:themeColor="text1"/>
        </w:rPr>
      </w:pPr>
      <w:r w:rsidRPr="72C24F92">
        <w:rPr>
          <w:rFonts w:ascii="Garamond" w:eastAsia="Garamond" w:hAnsi="Garamond" w:cs="Garamond"/>
          <w:color w:val="000000" w:themeColor="text1"/>
        </w:rPr>
        <w:t xml:space="preserve">Reports from the Auditor-General reveal ongoing irregularities that the Bill does not rectify, thereby increasing the risk of continued misappropriation of public funds. The ambiguous language of the Bill and its duplication of devolved functions violate Articles 201 and 203 of the Constitution, which mandate transparency, equity, and </w:t>
      </w:r>
      <w:r w:rsidR="0A0BB8FB" w:rsidRPr="72C24F92">
        <w:rPr>
          <w:rFonts w:ascii="Garamond" w:eastAsia="Garamond" w:hAnsi="Garamond" w:cs="Garamond"/>
          <w:color w:val="000000" w:themeColor="text1"/>
        </w:rPr>
        <w:t>accountability</w:t>
      </w:r>
      <w:r w:rsidRPr="72C24F92">
        <w:rPr>
          <w:rFonts w:ascii="Garamond" w:eastAsia="Garamond" w:hAnsi="Garamond" w:cs="Garamond"/>
          <w:color w:val="000000" w:themeColor="text1"/>
        </w:rPr>
        <w:t xml:space="preserve"> in the management of public finances.</w:t>
      </w:r>
      <w:r w:rsidR="32943615" w:rsidRPr="72C24F92">
        <w:rPr>
          <w:rFonts w:ascii="Garamond" w:eastAsia="Garamond" w:hAnsi="Garamond" w:cs="Garamond"/>
        </w:rPr>
        <w:t xml:space="preserve"> Without significant reforms to prioritize </w:t>
      </w:r>
      <w:r w:rsidRPr="72C24F92">
        <w:rPr>
          <w:rFonts w:ascii="Garamond" w:eastAsia="Garamond" w:hAnsi="Garamond" w:cs="Garamond"/>
          <w:color w:val="000000" w:themeColor="text1"/>
        </w:rPr>
        <w:t xml:space="preserve">marginalized communities, streamlining administration, and enforcing accountability, the proposed funds could undermine public trust and exacerbate inequalities. </w:t>
      </w:r>
    </w:p>
    <w:p w14:paraId="3C872993" w14:textId="52932846" w:rsidR="7D661F47" w:rsidRDefault="7D661F47" w:rsidP="72C24F92">
      <w:pPr>
        <w:spacing w:before="240" w:after="240" w:line="360" w:lineRule="auto"/>
        <w:jc w:val="both"/>
        <w:rPr>
          <w:rFonts w:ascii="Garamond" w:eastAsia="Garamond" w:hAnsi="Garamond" w:cs="Garamond"/>
        </w:rPr>
      </w:pPr>
      <w:r w:rsidRPr="72C24F92">
        <w:rPr>
          <w:rFonts w:ascii="Garamond" w:eastAsia="Garamond" w:hAnsi="Garamond" w:cs="Garamond"/>
        </w:rPr>
        <w:t>Therefore, ICJ-Kenya firmly rejects the proposed Bill in its entirety, as it undermines the constitutional principles of equity, accountability, and efficient use of public resources. We call for a thorough reassessment to ensure that any legislative initiative aligns with the Constitution and genuinely serves the common good, rather than being driven by political expediency. Public funds must be utilized transparently and effectively to address the pressing needs of marginalized communities, not to create redundant structures that dilute accountability and foster inefficiencies.</w:t>
      </w:r>
    </w:p>
    <w:p w14:paraId="0006AF8F" w14:textId="7F45F624" w:rsidR="72C24F92" w:rsidRDefault="72C24F92" w:rsidP="72C24F92">
      <w:pPr>
        <w:spacing w:line="360" w:lineRule="auto"/>
        <w:jc w:val="both"/>
        <w:rPr>
          <w:rFonts w:ascii="Garamond" w:eastAsia="Garamond" w:hAnsi="Garamond" w:cs="Garamond"/>
        </w:rPr>
      </w:pPr>
    </w:p>
    <w:p w14:paraId="1C721A34" w14:textId="72C4F859" w:rsidR="72C24F92" w:rsidRDefault="72C24F92" w:rsidP="72C24F92">
      <w:pPr>
        <w:spacing w:line="360" w:lineRule="auto"/>
        <w:jc w:val="both"/>
        <w:rPr>
          <w:rFonts w:ascii="Garamond" w:eastAsia="Garamond" w:hAnsi="Garamond" w:cs="Garamond"/>
        </w:rPr>
      </w:pPr>
    </w:p>
    <w:p w14:paraId="2B4623AD" w14:textId="1F3AF694" w:rsidR="72C24F92" w:rsidRDefault="72C24F92" w:rsidP="72C24F92">
      <w:pPr>
        <w:spacing w:line="360" w:lineRule="auto"/>
        <w:jc w:val="both"/>
        <w:rPr>
          <w:rFonts w:ascii="Garamond" w:eastAsia="Garamond" w:hAnsi="Garamond" w:cs="Garamond"/>
        </w:rPr>
      </w:pPr>
    </w:p>
    <w:p w14:paraId="6F90532B" w14:textId="67B15EDA" w:rsidR="72C24F92" w:rsidRDefault="72C24F92" w:rsidP="72C24F92">
      <w:pPr>
        <w:spacing w:line="360" w:lineRule="auto"/>
        <w:jc w:val="both"/>
        <w:rPr>
          <w:rFonts w:ascii="Garamond" w:eastAsia="Garamond" w:hAnsi="Garamond" w:cs="Garamond"/>
        </w:rPr>
      </w:pPr>
    </w:p>
    <w:p w14:paraId="4FA64149" w14:textId="6BC07754" w:rsidR="72C24F92" w:rsidRDefault="72C24F92" w:rsidP="72C24F92">
      <w:pPr>
        <w:spacing w:line="360" w:lineRule="auto"/>
        <w:jc w:val="both"/>
        <w:rPr>
          <w:rFonts w:ascii="Garamond" w:eastAsia="Garamond" w:hAnsi="Garamond" w:cs="Garamond"/>
        </w:rPr>
      </w:pPr>
    </w:p>
    <w:p w14:paraId="1D4A2B85" w14:textId="29DF3477" w:rsidR="72C24F92" w:rsidRDefault="72C24F92" w:rsidP="72C24F92">
      <w:pPr>
        <w:spacing w:line="360" w:lineRule="auto"/>
        <w:jc w:val="both"/>
        <w:rPr>
          <w:rFonts w:ascii="Garamond" w:eastAsia="Garamond" w:hAnsi="Garamond" w:cs="Garamond"/>
        </w:rPr>
      </w:pPr>
    </w:p>
    <w:p w14:paraId="4831FE01" w14:textId="5DEBD74A" w:rsidR="72C24F92" w:rsidRDefault="72C24F92" w:rsidP="72C24F92">
      <w:pPr>
        <w:spacing w:line="360" w:lineRule="auto"/>
        <w:jc w:val="both"/>
        <w:rPr>
          <w:rFonts w:ascii="Garamond" w:eastAsia="Garamond" w:hAnsi="Garamond" w:cs="Garamond"/>
        </w:rPr>
      </w:pPr>
    </w:p>
    <w:sectPr w:rsidR="72C24F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FA590" w14:textId="77777777" w:rsidR="003F2790" w:rsidRDefault="003F2790">
      <w:pPr>
        <w:spacing w:after="0" w:line="240" w:lineRule="auto"/>
      </w:pPr>
      <w:r>
        <w:separator/>
      </w:r>
    </w:p>
  </w:endnote>
  <w:endnote w:type="continuationSeparator" w:id="0">
    <w:p w14:paraId="111B7018" w14:textId="77777777" w:rsidR="003F2790" w:rsidRDefault="003F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ystem-u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4E1AE" w14:textId="77777777" w:rsidR="003F2790" w:rsidRDefault="003F2790">
      <w:pPr>
        <w:spacing w:after="0" w:line="240" w:lineRule="auto"/>
      </w:pPr>
      <w:r>
        <w:separator/>
      </w:r>
    </w:p>
  </w:footnote>
  <w:footnote w:type="continuationSeparator" w:id="0">
    <w:p w14:paraId="3990399C" w14:textId="77777777" w:rsidR="003F2790" w:rsidRDefault="003F2790">
      <w:pPr>
        <w:spacing w:after="0" w:line="240" w:lineRule="auto"/>
      </w:pPr>
      <w:r>
        <w:continuationSeparator/>
      </w:r>
    </w:p>
  </w:footnote>
  <w:footnote w:id="1">
    <w:p w14:paraId="7AB2557B" w14:textId="742257CF"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w:t>
      </w:r>
      <w:hyperlink r:id="rId1">
        <w:r w:rsidRPr="72C24F92">
          <w:rPr>
            <w:rStyle w:val="Hyperlink"/>
            <w:rFonts w:ascii="Aptos" w:eastAsia="Aptos" w:hAnsi="Aptos" w:cs="Aptos"/>
          </w:rPr>
          <w:t>https://www.the-star.co.ke/news/2024-07-08-kra-collects-sh24-trillion-in-revenue-for-financial-year-2023-24</w:t>
        </w:r>
      </w:hyperlink>
      <w:r w:rsidRPr="72C24F92">
        <w:rPr>
          <w:rFonts w:ascii="Aptos" w:eastAsia="Aptos" w:hAnsi="Aptos" w:cs="Aptos"/>
        </w:rPr>
        <w:t xml:space="preserve"> </w:t>
      </w:r>
    </w:p>
  </w:footnote>
  <w:footnote w:id="2">
    <w:p w14:paraId="7B997B1C" w14:textId="4A8CD7B2"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w:t>
      </w:r>
      <w:hyperlink r:id="rId2">
        <w:r w:rsidRPr="72C24F92">
          <w:rPr>
            <w:rStyle w:val="Hyperlink"/>
            <w:rFonts w:ascii="Aptos" w:eastAsia="Aptos" w:hAnsi="Aptos" w:cs="Aptos"/>
          </w:rPr>
          <w:t>https://www.treasury.go.ke/prof-ndungu-underscores-the-importance-cdf-in-development/</w:t>
        </w:r>
      </w:hyperlink>
      <w:r w:rsidRPr="72C24F92">
        <w:rPr>
          <w:rFonts w:ascii="Aptos" w:eastAsia="Aptos" w:hAnsi="Aptos" w:cs="Aptos"/>
        </w:rPr>
        <w:t xml:space="preserve"> </w:t>
      </w:r>
    </w:p>
    <w:p w14:paraId="1C128A11" w14:textId="4379BBD8" w:rsidR="72C24F92" w:rsidRDefault="72C24F92" w:rsidP="72C24F92">
      <w:pPr>
        <w:pStyle w:val="FootnoteText"/>
      </w:pPr>
    </w:p>
  </w:footnote>
  <w:footnote w:id="3">
    <w:p w14:paraId="76C254FF" w14:textId="2B537244"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w:t>
      </w:r>
      <w:hyperlink r:id="rId3">
        <w:r w:rsidRPr="72C24F92">
          <w:rPr>
            <w:rStyle w:val="Hyperlink"/>
            <w:rFonts w:ascii="Aptos" w:eastAsia="Aptos" w:hAnsi="Aptos" w:cs="Aptos"/>
          </w:rPr>
          <w:t>https://www.planning.go.ke/induction-of-the-national-government-constituencies-development-fund-ng-cdf-board-mombasa-26th-october-2023/</w:t>
        </w:r>
      </w:hyperlink>
      <w:r w:rsidRPr="72C24F92">
        <w:rPr>
          <w:rFonts w:ascii="Aptos" w:eastAsia="Aptos" w:hAnsi="Aptos" w:cs="Aptos"/>
        </w:rPr>
        <w:t xml:space="preserve"> </w:t>
      </w:r>
    </w:p>
  </w:footnote>
  <w:footnote w:id="4">
    <w:p w14:paraId="7CFB2E43" w14:textId="717292F7"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Article 204 of the Constitution of Kenya 2010</w:t>
      </w:r>
    </w:p>
  </w:footnote>
  <w:footnote w:id="5">
    <w:p w14:paraId="13BD4E5C" w14:textId="69147973"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The Constitution of Kenya 2010</w:t>
      </w:r>
    </w:p>
  </w:footnote>
  <w:footnote w:id="6">
    <w:p w14:paraId="2808EAFB" w14:textId="3D78614C"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Kenya Law </w:t>
      </w:r>
      <w:hyperlink r:id="rId4">
        <w:r w:rsidRPr="72C24F92">
          <w:rPr>
            <w:rStyle w:val="Hyperlink"/>
            <w:rFonts w:ascii="Aptos" w:eastAsia="Aptos" w:hAnsi="Aptos" w:cs="Aptos"/>
          </w:rPr>
          <w:t>https://new.kenyalaw.org/akn/ke/act/2015/30/eng@2023-12-29</w:t>
        </w:r>
      </w:hyperlink>
      <w:r w:rsidRPr="72C24F92">
        <w:rPr>
          <w:rFonts w:ascii="Aptos" w:eastAsia="Aptos" w:hAnsi="Aptos" w:cs="Aptos"/>
        </w:rPr>
        <w:t xml:space="preserve"> </w:t>
      </w:r>
    </w:p>
  </w:footnote>
  <w:footnote w:id="7">
    <w:p w14:paraId="7500FC4E" w14:textId="0ABFF65D"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The Constitution of Kenya 2010</w:t>
      </w:r>
    </w:p>
  </w:footnote>
  <w:footnote w:id="8">
    <w:p w14:paraId="2F8424FD" w14:textId="1408BCFE"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[2020] KEHC 9228 (KLR)</w:t>
      </w:r>
    </w:p>
  </w:footnote>
  <w:footnote w:id="9">
    <w:p w14:paraId="05A26A0C" w14:textId="0A19D14A"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Constitution of Kenya 2010</w:t>
      </w:r>
    </w:p>
  </w:footnote>
  <w:footnote w:id="10">
    <w:p w14:paraId="010282ED" w14:textId="76B5C070"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The Constitution of Kenya 2010</w:t>
      </w:r>
    </w:p>
  </w:footnote>
  <w:footnote w:id="11">
    <w:p w14:paraId="29686F3A" w14:textId="617BAC48"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Ibid </w:t>
      </w:r>
    </w:p>
  </w:footnote>
  <w:footnote w:id="12">
    <w:p w14:paraId="7F8360A1" w14:textId="041DFF1E" w:rsidR="72C24F92" w:rsidRDefault="72C24F92" w:rsidP="72C24F92">
      <w:pPr>
        <w:pStyle w:val="Heading1"/>
        <w:spacing w:before="0" w:after="75" w:line="360" w:lineRule="auto"/>
        <w:rPr>
          <w:rFonts w:ascii="Garamond" w:eastAsia="Garamond" w:hAnsi="Garamond" w:cs="Garamond"/>
          <w:i/>
          <w:iCs/>
          <w:color w:val="505050"/>
          <w:sz w:val="22"/>
          <w:szCs w:val="22"/>
        </w:rPr>
      </w:pPr>
      <w:r w:rsidRPr="72C24F92">
        <w:rPr>
          <w:rStyle w:val="FootnoteReference"/>
          <w:rFonts w:ascii="Aptos" w:eastAsia="Aptos" w:hAnsi="Aptos" w:cs="Aptos"/>
          <w:sz w:val="20"/>
          <w:szCs w:val="20"/>
        </w:rPr>
        <w:footnoteRef/>
      </w:r>
      <w:r w:rsidRPr="72C24F92">
        <w:rPr>
          <w:rFonts w:ascii="Aptos" w:eastAsia="Aptos" w:hAnsi="Aptos" w:cs="Aptos"/>
          <w:sz w:val="20"/>
          <w:szCs w:val="20"/>
        </w:rPr>
        <w:t xml:space="preserve"> </w:t>
      </w:r>
      <w:r w:rsidRPr="72C24F92">
        <w:rPr>
          <w:rFonts w:ascii="Aptos" w:eastAsia="Aptos" w:hAnsi="Aptos" w:cs="Aptos"/>
          <w:color w:val="222222"/>
          <w:sz w:val="20"/>
          <w:szCs w:val="20"/>
        </w:rPr>
        <w:t xml:space="preserve">Review of John </w:t>
      </w:r>
      <w:proofErr w:type="spellStart"/>
      <w:r w:rsidRPr="72C24F92">
        <w:rPr>
          <w:rFonts w:ascii="Aptos" w:eastAsia="Aptos" w:hAnsi="Aptos" w:cs="Aptos"/>
          <w:color w:val="222222"/>
          <w:sz w:val="20"/>
          <w:szCs w:val="20"/>
        </w:rPr>
        <w:t>Mutakha</w:t>
      </w:r>
      <w:proofErr w:type="spellEnd"/>
      <w:r w:rsidRPr="72C24F92">
        <w:rPr>
          <w:rFonts w:ascii="Aptos" w:eastAsia="Aptos" w:hAnsi="Aptos" w:cs="Aptos"/>
          <w:color w:val="222222"/>
          <w:sz w:val="20"/>
          <w:szCs w:val="20"/>
        </w:rPr>
        <w:t xml:space="preserve"> </w:t>
      </w:r>
      <w:proofErr w:type="spellStart"/>
      <w:r w:rsidRPr="72C24F92">
        <w:rPr>
          <w:rFonts w:ascii="Aptos" w:eastAsia="Aptos" w:hAnsi="Aptos" w:cs="Aptos"/>
          <w:color w:val="222222"/>
          <w:sz w:val="20"/>
          <w:szCs w:val="20"/>
        </w:rPr>
        <w:t>Kangu's</w:t>
      </w:r>
      <w:proofErr w:type="spellEnd"/>
      <w:r w:rsidRPr="72C24F92">
        <w:rPr>
          <w:rFonts w:ascii="Aptos" w:eastAsia="Aptos" w:hAnsi="Aptos" w:cs="Aptos"/>
          <w:color w:val="222222"/>
          <w:sz w:val="20"/>
          <w:szCs w:val="20"/>
        </w:rPr>
        <w:t xml:space="preserve"> Constitutional Law of Kenya on Devolution (Strathmore University Press, Nairobi, 2015) S</w:t>
      </w:r>
      <w:r w:rsidRPr="72C24F92">
        <w:rPr>
          <w:rFonts w:ascii="Aptos" w:eastAsia="Aptos" w:hAnsi="Aptos" w:cs="Aptos"/>
          <w:i/>
          <w:iCs/>
          <w:color w:val="505050"/>
          <w:sz w:val="20"/>
          <w:szCs w:val="20"/>
        </w:rPr>
        <w:t>trathmore Law Journal, Vol. 2, No. 1 (2016) 213-220</w:t>
      </w:r>
    </w:p>
    <w:p w14:paraId="1122D8FD" w14:textId="3C50B6B1" w:rsidR="72C24F92" w:rsidRDefault="72C24F92" w:rsidP="72C24F92"/>
    <w:p w14:paraId="64254D95" w14:textId="587C454A" w:rsidR="72C24F92" w:rsidRDefault="72C24F92" w:rsidP="72C24F92">
      <w:pPr>
        <w:pStyle w:val="FootnoteText"/>
        <w:rPr>
          <w:rFonts w:ascii="Garamond" w:eastAsia="Garamond" w:hAnsi="Garamond" w:cs="Garamond"/>
          <w:sz w:val="22"/>
          <w:szCs w:val="22"/>
        </w:rPr>
      </w:pPr>
    </w:p>
  </w:footnote>
  <w:footnote w:id="13">
    <w:p w14:paraId="1E0419D0" w14:textId="1AE55742" w:rsidR="72C24F92" w:rsidRDefault="72C24F92" w:rsidP="72C24F92">
      <w:pPr>
        <w:pStyle w:val="FootnoteText"/>
        <w:rPr>
          <w:rFonts w:ascii="system-ui" w:eastAsia="system-ui" w:hAnsi="system-ui" w:cs="system-ui"/>
          <w:sz w:val="24"/>
          <w:szCs w:val="24"/>
        </w:rPr>
      </w:pPr>
      <w:r w:rsidRPr="72C24F92">
        <w:rPr>
          <w:rStyle w:val="FootnoteReference"/>
          <w:rFonts w:ascii="Aptos" w:eastAsia="Aptos" w:hAnsi="Aptos" w:cs="Aptos"/>
        </w:rPr>
        <w:footnoteRef/>
      </w:r>
      <w:r w:rsidRPr="72C24F92">
        <w:rPr>
          <w:rFonts w:ascii="Aptos" w:eastAsia="Aptos" w:hAnsi="Aptos" w:cs="Aptos"/>
        </w:rPr>
        <w:t xml:space="preserve"> </w:t>
      </w:r>
      <w:proofErr w:type="spellStart"/>
      <w:r w:rsidRPr="72C24F92">
        <w:rPr>
          <w:rFonts w:ascii="Aptos" w:eastAsia="Aptos" w:hAnsi="Aptos" w:cs="Aptos"/>
        </w:rPr>
        <w:t>Kirira</w:t>
      </w:r>
      <w:proofErr w:type="spellEnd"/>
      <w:r w:rsidRPr="72C24F92">
        <w:rPr>
          <w:rFonts w:ascii="Aptos" w:eastAsia="Aptos" w:hAnsi="Aptos" w:cs="Aptos"/>
        </w:rPr>
        <w:t xml:space="preserve">, N. (2011). </w:t>
      </w:r>
      <w:r w:rsidRPr="72C24F92">
        <w:rPr>
          <w:rFonts w:ascii="Aptos" w:eastAsia="Aptos" w:hAnsi="Aptos" w:cs="Aptos"/>
          <w:i/>
          <w:iCs/>
        </w:rPr>
        <w:t>Public Finance under Kenya’s New Constitution</w:t>
      </w:r>
      <w:r w:rsidRPr="72C24F92">
        <w:rPr>
          <w:rFonts w:ascii="Aptos" w:eastAsia="Aptos" w:hAnsi="Aptos" w:cs="Aptos"/>
        </w:rPr>
        <w:t xml:space="preserve">. Society for International Development (SID). Available at: </w:t>
      </w:r>
      <w:hyperlink r:id="rId5">
        <w:r w:rsidRPr="72C24F92">
          <w:rPr>
            <w:rStyle w:val="Hyperlink"/>
            <w:rFonts w:ascii="Aptos" w:eastAsia="Aptos" w:hAnsi="Aptos" w:cs="Aptos"/>
          </w:rPr>
          <w:t>Public Finance under Kenya’s New Constitution</w:t>
        </w:r>
      </w:hyperlink>
      <w:r w:rsidRPr="72C24F92">
        <w:rPr>
          <w:rFonts w:ascii="Aptos" w:eastAsia="Aptos" w:hAnsi="Aptos" w:cs="Aptos"/>
        </w:rPr>
        <w:t>.</w:t>
      </w:r>
      <w:r>
        <w:br/>
      </w:r>
    </w:p>
  </w:footnote>
  <w:footnote w:id="14">
    <w:p w14:paraId="7559744A" w14:textId="660E8627" w:rsidR="72C24F92" w:rsidRDefault="72C24F92" w:rsidP="00E37675">
      <w:pPr>
        <w:pStyle w:val="FootnoteText"/>
        <w:rPr>
          <w:rFonts w:ascii="system-ui" w:eastAsia="system-ui" w:hAnsi="system-ui" w:cs="system-ui"/>
          <w:sz w:val="24"/>
          <w:szCs w:val="24"/>
        </w:rPr>
      </w:pPr>
      <w:r w:rsidRPr="72C24F92">
        <w:rPr>
          <w:rStyle w:val="FootnoteReference"/>
          <w:rFonts w:ascii="Aptos" w:eastAsia="Aptos" w:hAnsi="Aptos" w:cs="Aptos"/>
        </w:rPr>
        <w:footnoteRef/>
      </w:r>
      <w:r w:rsidRPr="72C24F92">
        <w:rPr>
          <w:rFonts w:ascii="Aptos" w:eastAsia="Aptos" w:hAnsi="Aptos" w:cs="Aptos"/>
        </w:rPr>
        <w:t xml:space="preserve"> African Charter on Human and Peoples' Rights. Available at: </w:t>
      </w:r>
      <w:hyperlink r:id="rId6">
        <w:r w:rsidRPr="72C24F92">
          <w:rPr>
            <w:rStyle w:val="Hyperlink"/>
            <w:rFonts w:ascii="Aptos" w:eastAsia="Aptos" w:hAnsi="Aptos" w:cs="Aptos"/>
          </w:rPr>
          <w:t>African Union</w:t>
        </w:r>
      </w:hyperlink>
      <w:r w:rsidRPr="72C24F92">
        <w:rPr>
          <w:rFonts w:ascii="Aptos" w:eastAsia="Aptos" w:hAnsi="Aptos" w:cs="Aptos"/>
        </w:rPr>
        <w:t>.</w:t>
      </w:r>
    </w:p>
    <w:p w14:paraId="5404AC55" w14:textId="7FDC4286" w:rsidR="72C24F92" w:rsidRDefault="72C24F92" w:rsidP="72C24F92">
      <w:pPr>
        <w:pStyle w:val="FootnoteText"/>
      </w:pPr>
    </w:p>
  </w:footnote>
  <w:footnote w:id="15">
    <w:p w14:paraId="289AC9FA" w14:textId="2D28D296" w:rsidR="72C24F92" w:rsidRDefault="72C24F92" w:rsidP="00E37675">
      <w:pPr>
        <w:pStyle w:val="FootnoteText"/>
        <w:rPr>
          <w:rFonts w:ascii="Garamond" w:eastAsia="Garamond" w:hAnsi="Garamond" w:cs="Garamond"/>
          <w:sz w:val="24"/>
          <w:szCs w:val="24"/>
        </w:rPr>
      </w:pPr>
      <w:r w:rsidRPr="72C24F92">
        <w:rPr>
          <w:rStyle w:val="FootnoteReference"/>
          <w:rFonts w:ascii="Aptos" w:eastAsia="Aptos" w:hAnsi="Aptos" w:cs="Aptos"/>
        </w:rPr>
        <w:footnoteRef/>
      </w:r>
      <w:r w:rsidRPr="72C24F92">
        <w:rPr>
          <w:rFonts w:ascii="Aptos" w:eastAsia="Aptos" w:hAnsi="Aptos" w:cs="Aptos"/>
        </w:rPr>
        <w:t xml:space="preserve"> United Nations Convention Against Corruption (UNCAC). Available at: </w:t>
      </w:r>
      <w:hyperlink r:id="rId7">
        <w:r w:rsidRPr="72C24F92">
          <w:rPr>
            <w:rStyle w:val="Hyperlink"/>
            <w:rFonts w:ascii="Aptos" w:eastAsia="Aptos" w:hAnsi="Aptos" w:cs="Aptos"/>
          </w:rPr>
          <w:t>UNODC</w:t>
        </w:r>
      </w:hyperlink>
      <w:r w:rsidRPr="72C24F92">
        <w:rPr>
          <w:rFonts w:ascii="Aptos" w:eastAsia="Aptos" w:hAnsi="Aptos" w:cs="Aptos"/>
        </w:rPr>
        <w:t>.</w:t>
      </w:r>
    </w:p>
    <w:p w14:paraId="2B93521D" w14:textId="7C31413B" w:rsidR="72C24F92" w:rsidRDefault="72C24F92" w:rsidP="72C24F92">
      <w:pPr>
        <w:pStyle w:val="FootnoteText"/>
      </w:pPr>
    </w:p>
  </w:footnote>
  <w:footnote w:id="16">
    <w:p w14:paraId="5D930CD3" w14:textId="6773D6B9" w:rsidR="72C24F92" w:rsidRDefault="72C24F92" w:rsidP="00E37675">
      <w:pPr>
        <w:pStyle w:val="FootnoteText"/>
        <w:rPr>
          <w:rFonts w:ascii="Garamond" w:eastAsia="Garamond" w:hAnsi="Garamond" w:cs="Garamond"/>
          <w:sz w:val="24"/>
          <w:szCs w:val="24"/>
        </w:rPr>
      </w:pPr>
      <w:r w:rsidRPr="72C24F92">
        <w:rPr>
          <w:rStyle w:val="FootnoteReference"/>
          <w:rFonts w:ascii="Aptos" w:eastAsia="Aptos" w:hAnsi="Aptos" w:cs="Aptos"/>
        </w:rPr>
        <w:footnoteRef/>
      </w:r>
      <w:r w:rsidRPr="72C24F92">
        <w:rPr>
          <w:rFonts w:ascii="Aptos" w:eastAsia="Aptos" w:hAnsi="Aptos" w:cs="Aptos"/>
        </w:rPr>
        <w:t xml:space="preserve"> International Covenant on Economic, Social and Cultural Rights (ICESCR). Available at: </w:t>
      </w:r>
      <w:hyperlink r:id="rId8">
        <w:r w:rsidRPr="72C24F92">
          <w:rPr>
            <w:rStyle w:val="Hyperlink"/>
            <w:rFonts w:ascii="Aptos" w:eastAsia="Aptos" w:hAnsi="Aptos" w:cs="Aptos"/>
          </w:rPr>
          <w:t>OHCHR</w:t>
        </w:r>
      </w:hyperlink>
      <w:r w:rsidRPr="72C24F92">
        <w:rPr>
          <w:rFonts w:ascii="Aptos" w:eastAsia="Aptos" w:hAnsi="Aptos" w:cs="Aptos"/>
        </w:rPr>
        <w:t>.</w:t>
      </w:r>
    </w:p>
    <w:p w14:paraId="7FD3ABA5" w14:textId="795C9ECB" w:rsidR="72C24F92" w:rsidRDefault="72C24F92" w:rsidP="72C24F92">
      <w:pPr>
        <w:pStyle w:val="FootnoteText"/>
      </w:pPr>
    </w:p>
  </w:footnote>
  <w:footnote w:id="17">
    <w:p w14:paraId="13AF406B" w14:textId="13B25F79"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United Nations. (n.d.). </w:t>
      </w:r>
      <w:r w:rsidRPr="72C24F92">
        <w:rPr>
          <w:rFonts w:ascii="Aptos" w:eastAsia="Aptos" w:hAnsi="Aptos" w:cs="Aptos"/>
          <w:i/>
          <w:iCs/>
        </w:rPr>
        <w:t>Sustainable Development Goals | The United Nations in Kenya</w:t>
      </w:r>
      <w:r w:rsidRPr="72C24F92">
        <w:rPr>
          <w:rFonts w:ascii="Aptos" w:eastAsia="Aptos" w:hAnsi="Aptos" w:cs="Aptos"/>
        </w:rPr>
        <w:t xml:space="preserve">. Retrieved January 17, 2025, from </w:t>
      </w:r>
      <w:hyperlink r:id="rId9">
        <w:r w:rsidRPr="72C24F92">
          <w:rPr>
            <w:rStyle w:val="Hyperlink"/>
            <w:rFonts w:ascii="Aptos" w:eastAsia="Aptos" w:hAnsi="Aptos" w:cs="Aptos"/>
          </w:rPr>
          <w:t>UN Kenya</w:t>
        </w:r>
      </w:hyperlink>
      <w:r w:rsidRPr="72C24F92">
        <w:rPr>
          <w:rFonts w:ascii="Aptos" w:eastAsia="Aptos" w:hAnsi="Aptos" w:cs="Aptos"/>
        </w:rPr>
        <w:t>.</w:t>
      </w:r>
    </w:p>
  </w:footnote>
  <w:footnote w:id="18">
    <w:p w14:paraId="0AC49FCB" w14:textId="68881AA3" w:rsidR="72C24F92" w:rsidRPr="00E37675" w:rsidRDefault="72C24F92" w:rsidP="72C24F92">
      <w:pPr>
        <w:pStyle w:val="FootnoteText"/>
        <w:rPr>
          <w:rFonts w:ascii="Garamond" w:eastAsia="Garamond" w:hAnsi="Garamond" w:cs="Garamond"/>
          <w:sz w:val="24"/>
          <w:szCs w:val="24"/>
        </w:rPr>
      </w:pPr>
      <w:r w:rsidRPr="72C24F92">
        <w:rPr>
          <w:rStyle w:val="FootnoteReference"/>
          <w:rFonts w:ascii="Aptos" w:eastAsia="Aptos" w:hAnsi="Aptos" w:cs="Aptos"/>
        </w:rPr>
        <w:footnoteRef/>
      </w:r>
      <w:r w:rsidRPr="72C24F92">
        <w:rPr>
          <w:rFonts w:ascii="Aptos" w:eastAsia="Aptos" w:hAnsi="Aptos" w:cs="Aptos"/>
        </w:rPr>
        <w:t xml:space="preserve"> National Government Constituencies Development Fund (NGCDF) Act. (2023). Available at: </w:t>
      </w:r>
      <w:hyperlink r:id="rId10">
        <w:r w:rsidRPr="72C24F92">
          <w:rPr>
            <w:rStyle w:val="Hyperlink"/>
            <w:rFonts w:ascii="Aptos" w:eastAsia="Aptos" w:hAnsi="Aptos" w:cs="Aptos"/>
          </w:rPr>
          <w:t>Kenya Law</w:t>
        </w:r>
      </w:hyperlink>
      <w:r w:rsidRPr="72C24F92">
        <w:rPr>
          <w:rFonts w:ascii="Aptos" w:eastAsia="Aptos" w:hAnsi="Aptos" w:cs="Aptos"/>
        </w:rPr>
        <w:t>.</w:t>
      </w:r>
    </w:p>
  </w:footnote>
  <w:footnote w:id="19">
    <w:p w14:paraId="589F791A" w14:textId="2D28D7A7" w:rsidR="72C24F92" w:rsidRDefault="72C24F92" w:rsidP="00E37675">
      <w:pPr>
        <w:pStyle w:val="FootnoteText"/>
        <w:rPr>
          <w:rFonts w:ascii="Garamond" w:eastAsia="Garamond" w:hAnsi="Garamond" w:cs="Garamond"/>
          <w:sz w:val="24"/>
          <w:szCs w:val="24"/>
        </w:rPr>
      </w:pPr>
      <w:r w:rsidRPr="72C24F92">
        <w:rPr>
          <w:rStyle w:val="FootnoteReference"/>
          <w:rFonts w:ascii="Aptos" w:eastAsia="Aptos" w:hAnsi="Aptos" w:cs="Aptos"/>
        </w:rPr>
        <w:footnoteRef/>
      </w:r>
      <w:r w:rsidRPr="72C24F92">
        <w:rPr>
          <w:rFonts w:ascii="Aptos" w:eastAsia="Aptos" w:hAnsi="Aptos" w:cs="Aptos"/>
        </w:rPr>
        <w:t xml:space="preserve"> Auditor-General's Report on the National Government Constituencies Development Fund (2023). </w:t>
      </w:r>
      <w:hyperlink r:id="rId11">
        <w:r w:rsidRPr="72C24F92">
          <w:rPr>
            <w:rStyle w:val="Hyperlink"/>
            <w:rFonts w:ascii="Aptos" w:eastAsia="Aptos" w:hAnsi="Aptos" w:cs="Aptos"/>
          </w:rPr>
          <w:t>NGCDF Official Website</w:t>
        </w:r>
      </w:hyperlink>
      <w:r w:rsidRPr="72C24F92">
        <w:rPr>
          <w:rFonts w:ascii="Aptos" w:eastAsia="Aptos" w:hAnsi="Aptos" w:cs="Aptos"/>
        </w:rPr>
        <w:t>.</w:t>
      </w:r>
    </w:p>
    <w:p w14:paraId="54F7D274" w14:textId="6E9C0981" w:rsidR="72C24F92" w:rsidRDefault="72C24F92" w:rsidP="72C24F92">
      <w:pPr>
        <w:pStyle w:val="FootnoteText"/>
      </w:pPr>
    </w:p>
  </w:footnote>
  <w:footnote w:id="20">
    <w:p w14:paraId="1E90A92A" w14:textId="0CE3C042"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[2021] KEHC 442 (KLR)</w:t>
      </w:r>
    </w:p>
  </w:footnote>
  <w:footnote w:id="21">
    <w:p w14:paraId="486DD162" w14:textId="31BC5090"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Ibid</w:t>
      </w:r>
    </w:p>
  </w:footnote>
  <w:footnote w:id="22">
    <w:p w14:paraId="22912EAC" w14:textId="4EBEB7D4"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The Constitution of Kenya 2010</w:t>
      </w:r>
    </w:p>
  </w:footnote>
  <w:footnote w:id="23">
    <w:p w14:paraId="5998BAEC" w14:textId="3B1C5ACE"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Ibid</w:t>
      </w:r>
    </w:p>
  </w:footnote>
  <w:footnote w:id="24">
    <w:p w14:paraId="049AA481" w14:textId="59F35B96"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Constitution of Kenya 2010</w:t>
      </w:r>
    </w:p>
  </w:footnote>
  <w:footnote w:id="25">
    <w:p w14:paraId="62165CBC" w14:textId="4872D647" w:rsidR="72C24F92" w:rsidRPr="00E37675" w:rsidRDefault="72C24F92" w:rsidP="72C24F92">
      <w:pPr>
        <w:pStyle w:val="FootnoteText"/>
        <w:rPr>
          <w:rFonts w:ascii="Garamond" w:eastAsia="Garamond" w:hAnsi="Garamond" w:cs="Garamond"/>
          <w:sz w:val="24"/>
          <w:szCs w:val="24"/>
        </w:rPr>
      </w:pPr>
      <w:r w:rsidRPr="72C24F92">
        <w:rPr>
          <w:rStyle w:val="FootnoteReference"/>
          <w:rFonts w:ascii="Aptos" w:eastAsia="Aptos" w:hAnsi="Aptos" w:cs="Aptos"/>
        </w:rPr>
        <w:footnoteRef/>
      </w:r>
      <w:r w:rsidRPr="72C24F92">
        <w:rPr>
          <w:rFonts w:ascii="Aptos" w:eastAsia="Aptos" w:hAnsi="Aptos" w:cs="Aptos"/>
        </w:rPr>
        <w:t xml:space="preserve"> KIPPRA. (2023). </w:t>
      </w:r>
      <w:r w:rsidRPr="72C24F92">
        <w:rPr>
          <w:rFonts w:ascii="Aptos" w:eastAsia="Aptos" w:hAnsi="Aptos" w:cs="Aptos"/>
          <w:i/>
          <w:iCs/>
        </w:rPr>
        <w:t>Enhancing the Implementation of the Equalization Fund in Kenya</w:t>
      </w:r>
      <w:r w:rsidRPr="72C24F92">
        <w:rPr>
          <w:rFonts w:ascii="Aptos" w:eastAsia="Aptos" w:hAnsi="Aptos" w:cs="Aptos"/>
        </w:rPr>
        <w:t xml:space="preserve">. </w:t>
      </w:r>
      <w:hyperlink r:id="rId12">
        <w:r w:rsidRPr="72C24F92">
          <w:rPr>
            <w:rStyle w:val="Hyperlink"/>
            <w:rFonts w:ascii="Aptos" w:eastAsia="Aptos" w:hAnsi="Aptos" w:cs="Aptos"/>
          </w:rPr>
          <w:t>KIPPRA</w:t>
        </w:r>
      </w:hyperlink>
      <w:r w:rsidRPr="72C24F92">
        <w:rPr>
          <w:rFonts w:ascii="Aptos" w:eastAsia="Aptos" w:hAnsi="Aptos" w:cs="Aptos"/>
        </w:rPr>
        <w:t>.</w:t>
      </w:r>
    </w:p>
  </w:footnote>
  <w:footnote w:id="26">
    <w:p w14:paraId="5BF73070" w14:textId="669FC601" w:rsidR="72C24F92" w:rsidRDefault="72C24F92" w:rsidP="00E37675">
      <w:pPr>
        <w:pStyle w:val="FootnoteText"/>
        <w:rPr>
          <w:rFonts w:ascii="Garamond" w:eastAsia="Garamond" w:hAnsi="Garamond" w:cs="Garamond"/>
          <w:sz w:val="24"/>
          <w:szCs w:val="24"/>
        </w:rPr>
      </w:pPr>
      <w:r w:rsidRPr="72C24F92">
        <w:rPr>
          <w:rStyle w:val="FootnoteReference"/>
          <w:rFonts w:ascii="Aptos" w:eastAsia="Aptos" w:hAnsi="Aptos" w:cs="Aptos"/>
        </w:rPr>
        <w:footnoteRef/>
      </w:r>
      <w:r w:rsidRPr="72C24F92">
        <w:rPr>
          <w:rFonts w:ascii="Aptos" w:eastAsia="Aptos" w:hAnsi="Aptos" w:cs="Aptos"/>
        </w:rPr>
        <w:t xml:space="preserve"> Equalization Fund Advisory Board. (2021). </w:t>
      </w:r>
      <w:r w:rsidRPr="72C24F92">
        <w:rPr>
          <w:rFonts w:ascii="Aptos" w:eastAsia="Aptos" w:hAnsi="Aptos" w:cs="Aptos"/>
          <w:i/>
          <w:iCs/>
        </w:rPr>
        <w:t>Mandate</w:t>
      </w:r>
      <w:r w:rsidRPr="72C24F92">
        <w:rPr>
          <w:rFonts w:ascii="Aptos" w:eastAsia="Aptos" w:hAnsi="Aptos" w:cs="Aptos"/>
        </w:rPr>
        <w:t xml:space="preserve">. Available at: </w:t>
      </w:r>
      <w:hyperlink r:id="rId13">
        <w:r w:rsidRPr="72C24F92">
          <w:rPr>
            <w:rStyle w:val="Hyperlink"/>
            <w:rFonts w:ascii="Aptos" w:eastAsia="Aptos" w:hAnsi="Aptos" w:cs="Aptos"/>
          </w:rPr>
          <w:t>Equalization Fund</w:t>
        </w:r>
      </w:hyperlink>
      <w:r w:rsidRPr="72C24F92">
        <w:rPr>
          <w:rFonts w:ascii="Aptos" w:eastAsia="Aptos" w:hAnsi="Aptos" w:cs="Aptos"/>
        </w:rPr>
        <w:t>.</w:t>
      </w:r>
    </w:p>
    <w:p w14:paraId="1196ACD6" w14:textId="144645CE" w:rsidR="72C24F92" w:rsidRDefault="72C24F92" w:rsidP="72C24F92">
      <w:pPr>
        <w:pStyle w:val="FootnoteText"/>
        <w:rPr>
          <w:rFonts w:ascii="Garamond" w:eastAsia="Garamond" w:hAnsi="Garamond" w:cs="Garamond"/>
        </w:rPr>
      </w:pPr>
    </w:p>
  </w:footnote>
  <w:footnote w:id="27">
    <w:p w14:paraId="6EAC86CF" w14:textId="24E303FC"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w:t>
      </w:r>
      <w:hyperlink r:id="rId14">
        <w:r w:rsidRPr="72C24F92">
          <w:rPr>
            <w:rStyle w:val="Hyperlink"/>
            <w:rFonts w:ascii="Aptos" w:eastAsia="Aptos" w:hAnsi="Aptos" w:cs="Aptos"/>
            <w:color w:val="auto"/>
            <w:u w:val="none"/>
          </w:rPr>
          <w:t>[2015] KEHC 6975 (KLR)</w:t>
        </w:r>
      </w:hyperlink>
    </w:p>
  </w:footnote>
  <w:footnote w:id="28">
    <w:p w14:paraId="4B9438AC" w14:textId="067967C8"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The Constitution of Kenya 2010</w:t>
      </w:r>
    </w:p>
  </w:footnote>
  <w:footnote w:id="29">
    <w:p w14:paraId="71951555" w14:textId="1816A8D6" w:rsidR="72C24F92" w:rsidRDefault="72C24F92" w:rsidP="72C24F92">
      <w:pPr>
        <w:pStyle w:val="FootnoteText"/>
      </w:pPr>
      <w:r w:rsidRPr="72C24F92">
        <w:rPr>
          <w:rStyle w:val="FootnoteReference"/>
          <w:rFonts w:ascii="Aptos" w:eastAsia="Aptos" w:hAnsi="Aptos" w:cs="Aptos"/>
        </w:rPr>
        <w:footnoteRef/>
      </w:r>
      <w:r w:rsidRPr="72C24F92">
        <w:rPr>
          <w:rFonts w:ascii="Aptos" w:eastAsia="Aptos" w:hAnsi="Aptos" w:cs="Aptos"/>
        </w:rPr>
        <w:t xml:space="preserve"> </w:t>
      </w:r>
      <w:hyperlink r:id="rId15">
        <w:r w:rsidRPr="72C24F92">
          <w:rPr>
            <w:rStyle w:val="Hyperlink"/>
            <w:rFonts w:ascii="Aptos" w:eastAsia="Aptos" w:hAnsi="Aptos" w:cs="Aptos"/>
            <w:color w:val="auto"/>
            <w:u w:val="none"/>
          </w:rPr>
          <w:t>[2020] KEELC 3929 (KLR)</w:t>
        </w:r>
      </w:hyperlink>
    </w:p>
  </w:footnote>
  <w:footnote w:id="30">
    <w:p w14:paraId="68405FC2" w14:textId="5BF49F39" w:rsidR="72C24F92" w:rsidRDefault="72C24F92" w:rsidP="72C24F92">
      <w:pPr>
        <w:pStyle w:val="FootnoteText"/>
        <w:rPr>
          <w:rFonts w:ascii="Garamond" w:eastAsia="Garamond" w:hAnsi="Garamond" w:cs="Garamond"/>
        </w:rPr>
      </w:pPr>
      <w:r w:rsidRPr="72C24F92">
        <w:rPr>
          <w:rStyle w:val="FootnoteReference"/>
          <w:rFonts w:ascii="Aptos" w:eastAsia="Aptos" w:hAnsi="Aptos" w:cs="Aptos"/>
        </w:rPr>
        <w:footnoteRef/>
      </w:r>
      <w:r w:rsidRPr="72C24F92">
        <w:rPr>
          <w:rFonts w:ascii="Aptos" w:eastAsia="Aptos" w:hAnsi="Aptos" w:cs="Aptos"/>
        </w:rPr>
        <w:t xml:space="preserve"> OSCE Office for Democratic Institutions and Human Rights. (2023). </w:t>
      </w:r>
      <w:r w:rsidRPr="72C24F92">
        <w:rPr>
          <w:rFonts w:ascii="Aptos" w:eastAsia="Aptos" w:hAnsi="Aptos" w:cs="Aptos"/>
          <w:i/>
          <w:iCs/>
        </w:rPr>
        <w:t>Guidelines on Democratic Lawmaking for Better Laws</w:t>
      </w:r>
      <w:r w:rsidRPr="72C24F92">
        <w:rPr>
          <w:rFonts w:ascii="Aptos" w:eastAsia="Aptos" w:hAnsi="Aptos" w:cs="Aptos"/>
        </w:rPr>
        <w:t xml:space="preserve">. </w:t>
      </w:r>
      <w:hyperlink r:id="rId16">
        <w:r w:rsidRPr="72C24F92">
          <w:rPr>
            <w:rStyle w:val="Hyperlink"/>
            <w:rFonts w:ascii="Aptos" w:eastAsia="Aptos" w:hAnsi="Aptos" w:cs="Aptos"/>
          </w:rPr>
          <w:t>OSCE</w:t>
        </w:r>
      </w:hyperlink>
      <w:r w:rsidRPr="72C24F92">
        <w:rPr>
          <w:rFonts w:ascii="Aptos" w:eastAsia="Aptos" w:hAnsi="Aptos" w:cs="Aptos"/>
        </w:rPr>
        <w:t>.</w:t>
      </w:r>
    </w:p>
  </w:footnote>
  <w:footnote w:id="31">
    <w:p w14:paraId="59B620C6" w14:textId="413E803A" w:rsidR="72C24F92" w:rsidRDefault="72C24F92" w:rsidP="72C24F92">
      <w:pPr>
        <w:pStyle w:val="FootnoteText"/>
      </w:pPr>
      <w:r w:rsidRPr="72C24F92">
        <w:rPr>
          <w:rStyle w:val="FootnoteReference"/>
          <w:rFonts w:ascii="Aptos" w:eastAsia="Aptos" w:hAnsi="Aptos" w:cs="Aptos"/>
        </w:rPr>
        <w:footnoteRef/>
      </w:r>
      <w:hyperlink r:id="rId17">
        <w:r w:rsidRPr="72C24F92">
          <w:rPr>
            <w:rStyle w:val="Hyperlink"/>
            <w:rFonts w:ascii="Aptos" w:eastAsia="Aptos" w:hAnsi="Aptos" w:cs="Aptos"/>
          </w:rPr>
          <w:t xml:space="preserve"> [2020] KESC 65 (KLR)</w:t>
        </w:r>
      </w:hyperlink>
      <w:r w:rsidRPr="72C24F92">
        <w:rPr>
          <w:rFonts w:ascii="Aptos" w:eastAsia="Aptos" w:hAnsi="Aptos" w:cs="Aptos"/>
        </w:rPr>
        <w:t xml:space="preserve"> </w:t>
      </w:r>
    </w:p>
  </w:footnote>
  <w:footnote w:id="32">
    <w:p w14:paraId="0BA80799" w14:textId="06DE6FF8" w:rsidR="72C24F92" w:rsidRDefault="72C24F92" w:rsidP="72C24F92">
      <w:pPr>
        <w:pStyle w:val="FootnoteText"/>
      </w:pPr>
      <w:r w:rsidRPr="72C24F92">
        <w:rPr>
          <w:rStyle w:val="FootnoteReference"/>
          <w:rFonts w:ascii="Aptos" w:eastAsia="Aptos" w:hAnsi="Aptos" w:cs="Aptos"/>
        </w:rPr>
        <w:footnoteRef/>
      </w:r>
      <w:hyperlink r:id="rId18">
        <w:r w:rsidRPr="72C24F92">
          <w:rPr>
            <w:rStyle w:val="Hyperlink"/>
            <w:rFonts w:ascii="Aptos" w:eastAsia="Aptos" w:hAnsi="Aptos" w:cs="Aptos"/>
            <w:color w:val="auto"/>
            <w:u w:val="none"/>
          </w:rPr>
          <w:t>[2024] KEHC 10886 (KLR)</w:t>
        </w:r>
      </w:hyperlink>
      <w:r w:rsidRPr="72C24F92">
        <w:rPr>
          <w:rFonts w:ascii="Aptos" w:eastAsia="Aptos" w:hAnsi="Aptos" w:cs="Aptos"/>
        </w:rPr>
        <w:t xml:space="preserve"> </w:t>
      </w:r>
    </w:p>
  </w:footnote>
</w:footnotes>
</file>

<file path=word/intelligence2.xml><?xml version="1.0" encoding="utf-8"?>
<int2:intelligence xmlns:int2="http://schemas.microsoft.com/office/intelligence/2020/intelligence">
  <int2:observations>
    <int2:bookmark int2:bookmarkName="_Int_1VmAwzyr" int2:invalidationBookmarkName="" int2:hashCode="8qntGp1W6lDkkb" int2:id="ne56FReX">
      <int2:state int2:type="AugLoop_Text_Critique" int2:value="Rejected"/>
    </int2:bookmark>
    <int2:bookmark int2:bookmarkName="_Int_oLxpMERg" int2:invalidationBookmarkName="" int2:hashCode="pQasiw12mumo6T" int2:id="Z3MkGWc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E0D1"/>
    <w:multiLevelType w:val="hybridMultilevel"/>
    <w:tmpl w:val="954063BA"/>
    <w:lvl w:ilvl="0" w:tplc="447845E4">
      <w:start w:val="1"/>
      <w:numFmt w:val="bullet"/>
      <w:lvlText w:val=""/>
      <w:lvlJc w:val="left"/>
      <w:pPr>
        <w:ind w:left="720" w:hanging="360"/>
      </w:pPr>
      <w:rPr>
        <w:rFonts w:ascii="Symbol" w:hAnsi="Symbol" w:hint="default"/>
      </w:rPr>
    </w:lvl>
    <w:lvl w:ilvl="1" w:tplc="D2FEF030">
      <w:start w:val="1"/>
      <w:numFmt w:val="bullet"/>
      <w:lvlText w:val="o"/>
      <w:lvlJc w:val="left"/>
      <w:pPr>
        <w:ind w:left="1440" w:hanging="360"/>
      </w:pPr>
      <w:rPr>
        <w:rFonts w:ascii="Courier New" w:hAnsi="Courier New" w:hint="default"/>
      </w:rPr>
    </w:lvl>
    <w:lvl w:ilvl="2" w:tplc="FC8AE216">
      <w:start w:val="1"/>
      <w:numFmt w:val="bullet"/>
      <w:lvlText w:val=""/>
      <w:lvlJc w:val="left"/>
      <w:pPr>
        <w:ind w:left="2160" w:hanging="360"/>
      </w:pPr>
      <w:rPr>
        <w:rFonts w:ascii="Wingdings" w:hAnsi="Wingdings" w:hint="default"/>
      </w:rPr>
    </w:lvl>
    <w:lvl w:ilvl="3" w:tplc="230E117E">
      <w:start w:val="1"/>
      <w:numFmt w:val="bullet"/>
      <w:lvlText w:val=""/>
      <w:lvlJc w:val="left"/>
      <w:pPr>
        <w:ind w:left="2880" w:hanging="360"/>
      </w:pPr>
      <w:rPr>
        <w:rFonts w:ascii="Symbol" w:hAnsi="Symbol" w:hint="default"/>
      </w:rPr>
    </w:lvl>
    <w:lvl w:ilvl="4" w:tplc="8174D3F8">
      <w:start w:val="1"/>
      <w:numFmt w:val="bullet"/>
      <w:lvlText w:val="o"/>
      <w:lvlJc w:val="left"/>
      <w:pPr>
        <w:ind w:left="3600" w:hanging="360"/>
      </w:pPr>
      <w:rPr>
        <w:rFonts w:ascii="Courier New" w:hAnsi="Courier New" w:hint="default"/>
      </w:rPr>
    </w:lvl>
    <w:lvl w:ilvl="5" w:tplc="6642772E">
      <w:start w:val="1"/>
      <w:numFmt w:val="bullet"/>
      <w:lvlText w:val=""/>
      <w:lvlJc w:val="left"/>
      <w:pPr>
        <w:ind w:left="4320" w:hanging="360"/>
      </w:pPr>
      <w:rPr>
        <w:rFonts w:ascii="Wingdings" w:hAnsi="Wingdings" w:hint="default"/>
      </w:rPr>
    </w:lvl>
    <w:lvl w:ilvl="6" w:tplc="92FA2CA0">
      <w:start w:val="1"/>
      <w:numFmt w:val="bullet"/>
      <w:lvlText w:val=""/>
      <w:lvlJc w:val="left"/>
      <w:pPr>
        <w:ind w:left="5040" w:hanging="360"/>
      </w:pPr>
      <w:rPr>
        <w:rFonts w:ascii="Symbol" w:hAnsi="Symbol" w:hint="default"/>
      </w:rPr>
    </w:lvl>
    <w:lvl w:ilvl="7" w:tplc="67802A6E">
      <w:start w:val="1"/>
      <w:numFmt w:val="bullet"/>
      <w:lvlText w:val="o"/>
      <w:lvlJc w:val="left"/>
      <w:pPr>
        <w:ind w:left="5760" w:hanging="360"/>
      </w:pPr>
      <w:rPr>
        <w:rFonts w:ascii="Courier New" w:hAnsi="Courier New" w:hint="default"/>
      </w:rPr>
    </w:lvl>
    <w:lvl w:ilvl="8" w:tplc="32D43A8C">
      <w:start w:val="1"/>
      <w:numFmt w:val="bullet"/>
      <w:lvlText w:val=""/>
      <w:lvlJc w:val="left"/>
      <w:pPr>
        <w:ind w:left="6480" w:hanging="360"/>
      </w:pPr>
      <w:rPr>
        <w:rFonts w:ascii="Wingdings" w:hAnsi="Wingdings" w:hint="default"/>
      </w:rPr>
    </w:lvl>
  </w:abstractNum>
  <w:abstractNum w:abstractNumId="1" w15:restartNumberingAfterBreak="0">
    <w:nsid w:val="0E6DEE7E"/>
    <w:multiLevelType w:val="hybridMultilevel"/>
    <w:tmpl w:val="5ED47A3E"/>
    <w:lvl w:ilvl="0" w:tplc="1270D73E">
      <w:start w:val="1"/>
      <w:numFmt w:val="decimal"/>
      <w:lvlText w:val="%1."/>
      <w:lvlJc w:val="left"/>
      <w:pPr>
        <w:ind w:left="720" w:hanging="360"/>
      </w:pPr>
    </w:lvl>
    <w:lvl w:ilvl="1" w:tplc="12046D16">
      <w:start w:val="1"/>
      <w:numFmt w:val="lowerLetter"/>
      <w:lvlText w:val="%2."/>
      <w:lvlJc w:val="left"/>
      <w:pPr>
        <w:ind w:left="1440" w:hanging="360"/>
      </w:pPr>
    </w:lvl>
    <w:lvl w:ilvl="2" w:tplc="59A6A26E">
      <w:start w:val="1"/>
      <w:numFmt w:val="lowerRoman"/>
      <w:lvlText w:val="%3."/>
      <w:lvlJc w:val="right"/>
      <w:pPr>
        <w:ind w:left="2160" w:hanging="180"/>
      </w:pPr>
    </w:lvl>
    <w:lvl w:ilvl="3" w:tplc="FBB85166">
      <w:start w:val="1"/>
      <w:numFmt w:val="decimal"/>
      <w:lvlText w:val="%4."/>
      <w:lvlJc w:val="left"/>
      <w:pPr>
        <w:ind w:left="2880" w:hanging="360"/>
      </w:pPr>
    </w:lvl>
    <w:lvl w:ilvl="4" w:tplc="166231B6">
      <w:start w:val="1"/>
      <w:numFmt w:val="lowerLetter"/>
      <w:lvlText w:val="%5."/>
      <w:lvlJc w:val="left"/>
      <w:pPr>
        <w:ind w:left="3600" w:hanging="360"/>
      </w:pPr>
    </w:lvl>
    <w:lvl w:ilvl="5" w:tplc="64522596">
      <w:start w:val="1"/>
      <w:numFmt w:val="lowerRoman"/>
      <w:lvlText w:val="%6."/>
      <w:lvlJc w:val="right"/>
      <w:pPr>
        <w:ind w:left="4320" w:hanging="180"/>
      </w:pPr>
    </w:lvl>
    <w:lvl w:ilvl="6" w:tplc="4B94E106">
      <w:start w:val="1"/>
      <w:numFmt w:val="decimal"/>
      <w:lvlText w:val="%7."/>
      <w:lvlJc w:val="left"/>
      <w:pPr>
        <w:ind w:left="5040" w:hanging="360"/>
      </w:pPr>
    </w:lvl>
    <w:lvl w:ilvl="7" w:tplc="5CE67A2E">
      <w:start w:val="1"/>
      <w:numFmt w:val="lowerLetter"/>
      <w:lvlText w:val="%8."/>
      <w:lvlJc w:val="left"/>
      <w:pPr>
        <w:ind w:left="5760" w:hanging="360"/>
      </w:pPr>
    </w:lvl>
    <w:lvl w:ilvl="8" w:tplc="D446F9C0">
      <w:start w:val="1"/>
      <w:numFmt w:val="lowerRoman"/>
      <w:lvlText w:val="%9."/>
      <w:lvlJc w:val="right"/>
      <w:pPr>
        <w:ind w:left="6480" w:hanging="180"/>
      </w:pPr>
    </w:lvl>
  </w:abstractNum>
  <w:abstractNum w:abstractNumId="2" w15:restartNumberingAfterBreak="0">
    <w:nsid w:val="12BB1DAA"/>
    <w:multiLevelType w:val="hybridMultilevel"/>
    <w:tmpl w:val="C1C2AA2E"/>
    <w:lvl w:ilvl="0" w:tplc="13784262">
      <w:start w:val="1"/>
      <w:numFmt w:val="decimal"/>
      <w:lvlText w:val="%1."/>
      <w:lvlJc w:val="left"/>
      <w:pPr>
        <w:ind w:left="720" w:hanging="360"/>
      </w:pPr>
    </w:lvl>
    <w:lvl w:ilvl="1" w:tplc="21D0B240">
      <w:start w:val="1"/>
      <w:numFmt w:val="lowerLetter"/>
      <w:lvlText w:val="%2."/>
      <w:lvlJc w:val="left"/>
      <w:pPr>
        <w:ind w:left="1440" w:hanging="360"/>
      </w:pPr>
    </w:lvl>
    <w:lvl w:ilvl="2" w:tplc="DFB00992">
      <w:start w:val="1"/>
      <w:numFmt w:val="lowerRoman"/>
      <w:lvlText w:val="%3."/>
      <w:lvlJc w:val="right"/>
      <w:pPr>
        <w:ind w:left="2160" w:hanging="180"/>
      </w:pPr>
    </w:lvl>
    <w:lvl w:ilvl="3" w:tplc="68B8B4DE">
      <w:start w:val="1"/>
      <w:numFmt w:val="decimal"/>
      <w:lvlText w:val="%4."/>
      <w:lvlJc w:val="left"/>
      <w:pPr>
        <w:ind w:left="2880" w:hanging="360"/>
      </w:pPr>
    </w:lvl>
    <w:lvl w:ilvl="4" w:tplc="4E28DF6A">
      <w:start w:val="1"/>
      <w:numFmt w:val="lowerLetter"/>
      <w:lvlText w:val="%5."/>
      <w:lvlJc w:val="left"/>
      <w:pPr>
        <w:ind w:left="3600" w:hanging="360"/>
      </w:pPr>
    </w:lvl>
    <w:lvl w:ilvl="5" w:tplc="7C74E23A">
      <w:start w:val="1"/>
      <w:numFmt w:val="lowerRoman"/>
      <w:lvlText w:val="%6."/>
      <w:lvlJc w:val="right"/>
      <w:pPr>
        <w:ind w:left="4320" w:hanging="180"/>
      </w:pPr>
    </w:lvl>
    <w:lvl w:ilvl="6" w:tplc="89C83FEE">
      <w:start w:val="1"/>
      <w:numFmt w:val="decimal"/>
      <w:lvlText w:val="%7."/>
      <w:lvlJc w:val="left"/>
      <w:pPr>
        <w:ind w:left="5040" w:hanging="360"/>
      </w:pPr>
    </w:lvl>
    <w:lvl w:ilvl="7" w:tplc="D854C65C">
      <w:start w:val="1"/>
      <w:numFmt w:val="lowerLetter"/>
      <w:lvlText w:val="%8."/>
      <w:lvlJc w:val="left"/>
      <w:pPr>
        <w:ind w:left="5760" w:hanging="360"/>
      </w:pPr>
    </w:lvl>
    <w:lvl w:ilvl="8" w:tplc="6A1400C8">
      <w:start w:val="1"/>
      <w:numFmt w:val="lowerRoman"/>
      <w:lvlText w:val="%9."/>
      <w:lvlJc w:val="right"/>
      <w:pPr>
        <w:ind w:left="6480" w:hanging="180"/>
      </w:pPr>
    </w:lvl>
  </w:abstractNum>
  <w:abstractNum w:abstractNumId="3" w15:restartNumberingAfterBreak="0">
    <w:nsid w:val="18FFD3CA"/>
    <w:multiLevelType w:val="hybridMultilevel"/>
    <w:tmpl w:val="620028DE"/>
    <w:lvl w:ilvl="0" w:tplc="4118C2B8">
      <w:start w:val="1"/>
      <w:numFmt w:val="decimal"/>
      <w:lvlText w:val="%1."/>
      <w:lvlJc w:val="left"/>
      <w:pPr>
        <w:ind w:left="720" w:hanging="360"/>
      </w:pPr>
    </w:lvl>
    <w:lvl w:ilvl="1" w:tplc="8D00C1A4">
      <w:start w:val="1"/>
      <w:numFmt w:val="lowerLetter"/>
      <w:lvlText w:val="%2."/>
      <w:lvlJc w:val="left"/>
      <w:pPr>
        <w:ind w:left="1440" w:hanging="360"/>
      </w:pPr>
    </w:lvl>
    <w:lvl w:ilvl="2" w:tplc="5D504366">
      <w:start w:val="1"/>
      <w:numFmt w:val="lowerRoman"/>
      <w:lvlText w:val="%3."/>
      <w:lvlJc w:val="right"/>
      <w:pPr>
        <w:ind w:left="2160" w:hanging="180"/>
      </w:pPr>
    </w:lvl>
    <w:lvl w:ilvl="3" w:tplc="2484666C">
      <w:start w:val="1"/>
      <w:numFmt w:val="decimal"/>
      <w:lvlText w:val="%4."/>
      <w:lvlJc w:val="left"/>
      <w:pPr>
        <w:ind w:left="2880" w:hanging="360"/>
      </w:pPr>
    </w:lvl>
    <w:lvl w:ilvl="4" w:tplc="BEA8DDBC">
      <w:start w:val="1"/>
      <w:numFmt w:val="lowerLetter"/>
      <w:lvlText w:val="%5."/>
      <w:lvlJc w:val="left"/>
      <w:pPr>
        <w:ind w:left="3600" w:hanging="360"/>
      </w:pPr>
    </w:lvl>
    <w:lvl w:ilvl="5" w:tplc="1840D698">
      <w:start w:val="1"/>
      <w:numFmt w:val="lowerRoman"/>
      <w:lvlText w:val="%6."/>
      <w:lvlJc w:val="right"/>
      <w:pPr>
        <w:ind w:left="4320" w:hanging="180"/>
      </w:pPr>
    </w:lvl>
    <w:lvl w:ilvl="6" w:tplc="077C6B2E">
      <w:start w:val="1"/>
      <w:numFmt w:val="decimal"/>
      <w:lvlText w:val="%7."/>
      <w:lvlJc w:val="left"/>
      <w:pPr>
        <w:ind w:left="5040" w:hanging="360"/>
      </w:pPr>
    </w:lvl>
    <w:lvl w:ilvl="7" w:tplc="495CCCF0">
      <w:start w:val="1"/>
      <w:numFmt w:val="lowerLetter"/>
      <w:lvlText w:val="%8."/>
      <w:lvlJc w:val="left"/>
      <w:pPr>
        <w:ind w:left="5760" w:hanging="360"/>
      </w:pPr>
    </w:lvl>
    <w:lvl w:ilvl="8" w:tplc="97E22FF8">
      <w:start w:val="1"/>
      <w:numFmt w:val="lowerRoman"/>
      <w:lvlText w:val="%9."/>
      <w:lvlJc w:val="right"/>
      <w:pPr>
        <w:ind w:left="6480" w:hanging="180"/>
      </w:pPr>
    </w:lvl>
  </w:abstractNum>
  <w:abstractNum w:abstractNumId="4" w15:restartNumberingAfterBreak="0">
    <w:nsid w:val="1F349EED"/>
    <w:multiLevelType w:val="hybridMultilevel"/>
    <w:tmpl w:val="1E18C528"/>
    <w:lvl w:ilvl="0" w:tplc="23C6D776">
      <w:start w:val="1"/>
      <w:numFmt w:val="decimal"/>
      <w:lvlText w:val="%1."/>
      <w:lvlJc w:val="left"/>
      <w:pPr>
        <w:ind w:left="720" w:hanging="360"/>
      </w:pPr>
    </w:lvl>
    <w:lvl w:ilvl="1" w:tplc="70585202">
      <w:start w:val="1"/>
      <w:numFmt w:val="lowerLetter"/>
      <w:lvlText w:val="%2."/>
      <w:lvlJc w:val="left"/>
      <w:pPr>
        <w:ind w:left="1440" w:hanging="360"/>
      </w:pPr>
    </w:lvl>
    <w:lvl w:ilvl="2" w:tplc="8A0EC95C">
      <w:start w:val="1"/>
      <w:numFmt w:val="lowerRoman"/>
      <w:lvlText w:val="%3."/>
      <w:lvlJc w:val="right"/>
      <w:pPr>
        <w:ind w:left="2160" w:hanging="180"/>
      </w:pPr>
    </w:lvl>
    <w:lvl w:ilvl="3" w:tplc="6E508160">
      <w:start w:val="1"/>
      <w:numFmt w:val="decimal"/>
      <w:lvlText w:val="%4."/>
      <w:lvlJc w:val="left"/>
      <w:pPr>
        <w:ind w:left="2880" w:hanging="360"/>
      </w:pPr>
    </w:lvl>
    <w:lvl w:ilvl="4" w:tplc="C6982B78">
      <w:start w:val="1"/>
      <w:numFmt w:val="lowerLetter"/>
      <w:lvlText w:val="%5."/>
      <w:lvlJc w:val="left"/>
      <w:pPr>
        <w:ind w:left="3600" w:hanging="360"/>
      </w:pPr>
    </w:lvl>
    <w:lvl w:ilvl="5" w:tplc="F6FA85FA">
      <w:start w:val="1"/>
      <w:numFmt w:val="lowerRoman"/>
      <w:lvlText w:val="%6."/>
      <w:lvlJc w:val="right"/>
      <w:pPr>
        <w:ind w:left="4320" w:hanging="180"/>
      </w:pPr>
    </w:lvl>
    <w:lvl w:ilvl="6" w:tplc="51BE3514">
      <w:start w:val="1"/>
      <w:numFmt w:val="decimal"/>
      <w:lvlText w:val="%7."/>
      <w:lvlJc w:val="left"/>
      <w:pPr>
        <w:ind w:left="5040" w:hanging="360"/>
      </w:pPr>
    </w:lvl>
    <w:lvl w:ilvl="7" w:tplc="CA920082">
      <w:start w:val="1"/>
      <w:numFmt w:val="lowerLetter"/>
      <w:lvlText w:val="%8."/>
      <w:lvlJc w:val="left"/>
      <w:pPr>
        <w:ind w:left="5760" w:hanging="360"/>
      </w:pPr>
    </w:lvl>
    <w:lvl w:ilvl="8" w:tplc="EDF0BD76">
      <w:start w:val="1"/>
      <w:numFmt w:val="lowerRoman"/>
      <w:lvlText w:val="%9."/>
      <w:lvlJc w:val="right"/>
      <w:pPr>
        <w:ind w:left="6480" w:hanging="180"/>
      </w:pPr>
    </w:lvl>
  </w:abstractNum>
  <w:abstractNum w:abstractNumId="5" w15:restartNumberingAfterBreak="0">
    <w:nsid w:val="1F48623F"/>
    <w:multiLevelType w:val="hybridMultilevel"/>
    <w:tmpl w:val="80BC1056"/>
    <w:lvl w:ilvl="0" w:tplc="27601982">
      <w:start w:val="1"/>
      <w:numFmt w:val="upperLetter"/>
      <w:lvlText w:val="%1."/>
      <w:lvlJc w:val="left"/>
      <w:pPr>
        <w:ind w:left="720" w:hanging="360"/>
      </w:pPr>
    </w:lvl>
    <w:lvl w:ilvl="1" w:tplc="F9061980">
      <w:start w:val="1"/>
      <w:numFmt w:val="lowerLetter"/>
      <w:lvlText w:val="%2."/>
      <w:lvlJc w:val="left"/>
      <w:pPr>
        <w:ind w:left="1440" w:hanging="360"/>
      </w:pPr>
    </w:lvl>
    <w:lvl w:ilvl="2" w:tplc="AE86DE3C">
      <w:start w:val="1"/>
      <w:numFmt w:val="lowerRoman"/>
      <w:lvlText w:val="%3."/>
      <w:lvlJc w:val="right"/>
      <w:pPr>
        <w:ind w:left="2160" w:hanging="180"/>
      </w:pPr>
    </w:lvl>
    <w:lvl w:ilvl="3" w:tplc="42DE8980">
      <w:start w:val="1"/>
      <w:numFmt w:val="decimal"/>
      <w:lvlText w:val="%4."/>
      <w:lvlJc w:val="left"/>
      <w:pPr>
        <w:ind w:left="2880" w:hanging="360"/>
      </w:pPr>
    </w:lvl>
    <w:lvl w:ilvl="4" w:tplc="839A4834">
      <w:start w:val="1"/>
      <w:numFmt w:val="lowerLetter"/>
      <w:lvlText w:val="%5."/>
      <w:lvlJc w:val="left"/>
      <w:pPr>
        <w:ind w:left="3600" w:hanging="360"/>
      </w:pPr>
    </w:lvl>
    <w:lvl w:ilvl="5" w:tplc="4B9CFF58">
      <w:start w:val="1"/>
      <w:numFmt w:val="lowerRoman"/>
      <w:lvlText w:val="%6."/>
      <w:lvlJc w:val="right"/>
      <w:pPr>
        <w:ind w:left="4320" w:hanging="180"/>
      </w:pPr>
    </w:lvl>
    <w:lvl w:ilvl="6" w:tplc="62A01CDC">
      <w:start w:val="1"/>
      <w:numFmt w:val="decimal"/>
      <w:lvlText w:val="%7."/>
      <w:lvlJc w:val="left"/>
      <w:pPr>
        <w:ind w:left="5040" w:hanging="360"/>
      </w:pPr>
    </w:lvl>
    <w:lvl w:ilvl="7" w:tplc="970661C4">
      <w:start w:val="1"/>
      <w:numFmt w:val="lowerLetter"/>
      <w:lvlText w:val="%8."/>
      <w:lvlJc w:val="left"/>
      <w:pPr>
        <w:ind w:left="5760" w:hanging="360"/>
      </w:pPr>
    </w:lvl>
    <w:lvl w:ilvl="8" w:tplc="33CEDD66">
      <w:start w:val="1"/>
      <w:numFmt w:val="lowerRoman"/>
      <w:lvlText w:val="%9."/>
      <w:lvlJc w:val="right"/>
      <w:pPr>
        <w:ind w:left="6480" w:hanging="180"/>
      </w:pPr>
    </w:lvl>
  </w:abstractNum>
  <w:abstractNum w:abstractNumId="6" w15:restartNumberingAfterBreak="0">
    <w:nsid w:val="21C2743E"/>
    <w:multiLevelType w:val="hybridMultilevel"/>
    <w:tmpl w:val="9AEE2FFC"/>
    <w:lvl w:ilvl="0" w:tplc="44329AFE">
      <w:start w:val="1"/>
      <w:numFmt w:val="decimal"/>
      <w:lvlText w:val="%1."/>
      <w:lvlJc w:val="left"/>
      <w:pPr>
        <w:ind w:left="720" w:hanging="360"/>
      </w:pPr>
    </w:lvl>
    <w:lvl w:ilvl="1" w:tplc="869E01E6">
      <w:start w:val="1"/>
      <w:numFmt w:val="lowerLetter"/>
      <w:lvlText w:val="%2."/>
      <w:lvlJc w:val="left"/>
      <w:pPr>
        <w:ind w:left="1440" w:hanging="360"/>
      </w:pPr>
    </w:lvl>
    <w:lvl w:ilvl="2" w:tplc="26C2305C">
      <w:start w:val="1"/>
      <w:numFmt w:val="lowerRoman"/>
      <w:lvlText w:val="%3."/>
      <w:lvlJc w:val="right"/>
      <w:pPr>
        <w:ind w:left="2160" w:hanging="180"/>
      </w:pPr>
    </w:lvl>
    <w:lvl w:ilvl="3" w:tplc="96164D40">
      <w:start w:val="1"/>
      <w:numFmt w:val="decimal"/>
      <w:lvlText w:val="%4."/>
      <w:lvlJc w:val="left"/>
      <w:pPr>
        <w:ind w:left="2880" w:hanging="360"/>
      </w:pPr>
    </w:lvl>
    <w:lvl w:ilvl="4" w:tplc="DD80F864">
      <w:start w:val="1"/>
      <w:numFmt w:val="lowerLetter"/>
      <w:lvlText w:val="%5."/>
      <w:lvlJc w:val="left"/>
      <w:pPr>
        <w:ind w:left="3600" w:hanging="360"/>
      </w:pPr>
    </w:lvl>
    <w:lvl w:ilvl="5" w:tplc="B83A074A">
      <w:start w:val="1"/>
      <w:numFmt w:val="lowerRoman"/>
      <w:lvlText w:val="%6."/>
      <w:lvlJc w:val="right"/>
      <w:pPr>
        <w:ind w:left="4320" w:hanging="180"/>
      </w:pPr>
    </w:lvl>
    <w:lvl w:ilvl="6" w:tplc="DFDA5922">
      <w:start w:val="1"/>
      <w:numFmt w:val="decimal"/>
      <w:lvlText w:val="%7."/>
      <w:lvlJc w:val="left"/>
      <w:pPr>
        <w:ind w:left="5040" w:hanging="360"/>
      </w:pPr>
    </w:lvl>
    <w:lvl w:ilvl="7" w:tplc="05D2B082">
      <w:start w:val="1"/>
      <w:numFmt w:val="lowerLetter"/>
      <w:lvlText w:val="%8."/>
      <w:lvlJc w:val="left"/>
      <w:pPr>
        <w:ind w:left="5760" w:hanging="360"/>
      </w:pPr>
    </w:lvl>
    <w:lvl w:ilvl="8" w:tplc="14788DDE">
      <w:start w:val="1"/>
      <w:numFmt w:val="lowerRoman"/>
      <w:lvlText w:val="%9."/>
      <w:lvlJc w:val="right"/>
      <w:pPr>
        <w:ind w:left="6480" w:hanging="180"/>
      </w:pPr>
    </w:lvl>
  </w:abstractNum>
  <w:abstractNum w:abstractNumId="7" w15:restartNumberingAfterBreak="0">
    <w:nsid w:val="2D97CD4F"/>
    <w:multiLevelType w:val="hybridMultilevel"/>
    <w:tmpl w:val="47226A4C"/>
    <w:lvl w:ilvl="0" w:tplc="4FF26D52">
      <w:start w:val="1"/>
      <w:numFmt w:val="lowerLetter"/>
      <w:lvlText w:val="%1."/>
      <w:lvlJc w:val="left"/>
      <w:pPr>
        <w:ind w:left="720" w:hanging="360"/>
      </w:pPr>
    </w:lvl>
    <w:lvl w:ilvl="1" w:tplc="553C2ED2">
      <w:start w:val="1"/>
      <w:numFmt w:val="lowerLetter"/>
      <w:lvlText w:val="%2."/>
      <w:lvlJc w:val="left"/>
      <w:pPr>
        <w:ind w:left="1440" w:hanging="360"/>
      </w:pPr>
    </w:lvl>
    <w:lvl w:ilvl="2" w:tplc="A30EC772">
      <w:start w:val="1"/>
      <w:numFmt w:val="lowerRoman"/>
      <w:lvlText w:val="%3."/>
      <w:lvlJc w:val="right"/>
      <w:pPr>
        <w:ind w:left="2160" w:hanging="180"/>
      </w:pPr>
    </w:lvl>
    <w:lvl w:ilvl="3" w:tplc="E7EE5512">
      <w:start w:val="1"/>
      <w:numFmt w:val="decimal"/>
      <w:lvlText w:val="%4."/>
      <w:lvlJc w:val="left"/>
      <w:pPr>
        <w:ind w:left="2880" w:hanging="360"/>
      </w:pPr>
    </w:lvl>
    <w:lvl w:ilvl="4" w:tplc="06CE8F2A">
      <w:start w:val="1"/>
      <w:numFmt w:val="lowerLetter"/>
      <w:lvlText w:val="%5."/>
      <w:lvlJc w:val="left"/>
      <w:pPr>
        <w:ind w:left="3600" w:hanging="360"/>
      </w:pPr>
    </w:lvl>
    <w:lvl w:ilvl="5" w:tplc="A0E87664">
      <w:start w:val="1"/>
      <w:numFmt w:val="lowerRoman"/>
      <w:lvlText w:val="%6."/>
      <w:lvlJc w:val="right"/>
      <w:pPr>
        <w:ind w:left="4320" w:hanging="180"/>
      </w:pPr>
    </w:lvl>
    <w:lvl w:ilvl="6" w:tplc="6A047236">
      <w:start w:val="1"/>
      <w:numFmt w:val="decimal"/>
      <w:lvlText w:val="%7."/>
      <w:lvlJc w:val="left"/>
      <w:pPr>
        <w:ind w:left="5040" w:hanging="360"/>
      </w:pPr>
    </w:lvl>
    <w:lvl w:ilvl="7" w:tplc="FBFC7890">
      <w:start w:val="1"/>
      <w:numFmt w:val="lowerLetter"/>
      <w:lvlText w:val="%8."/>
      <w:lvlJc w:val="left"/>
      <w:pPr>
        <w:ind w:left="5760" w:hanging="360"/>
      </w:pPr>
    </w:lvl>
    <w:lvl w:ilvl="8" w:tplc="A12A6778">
      <w:start w:val="1"/>
      <w:numFmt w:val="lowerRoman"/>
      <w:lvlText w:val="%9."/>
      <w:lvlJc w:val="right"/>
      <w:pPr>
        <w:ind w:left="6480" w:hanging="180"/>
      </w:pPr>
    </w:lvl>
  </w:abstractNum>
  <w:abstractNum w:abstractNumId="8" w15:restartNumberingAfterBreak="0">
    <w:nsid w:val="360107BE"/>
    <w:multiLevelType w:val="hybridMultilevel"/>
    <w:tmpl w:val="FA2868A6"/>
    <w:lvl w:ilvl="0" w:tplc="4408728C">
      <w:start w:val="1"/>
      <w:numFmt w:val="decimal"/>
      <w:lvlText w:val="%1."/>
      <w:lvlJc w:val="left"/>
      <w:pPr>
        <w:ind w:left="720" w:hanging="360"/>
      </w:pPr>
    </w:lvl>
    <w:lvl w:ilvl="1" w:tplc="E32E1380">
      <w:start w:val="1"/>
      <w:numFmt w:val="lowerLetter"/>
      <w:lvlText w:val="%2."/>
      <w:lvlJc w:val="left"/>
      <w:pPr>
        <w:ind w:left="1440" w:hanging="360"/>
      </w:pPr>
    </w:lvl>
    <w:lvl w:ilvl="2" w:tplc="660C5340">
      <w:start w:val="1"/>
      <w:numFmt w:val="lowerRoman"/>
      <w:lvlText w:val="%3."/>
      <w:lvlJc w:val="right"/>
      <w:pPr>
        <w:ind w:left="2160" w:hanging="180"/>
      </w:pPr>
    </w:lvl>
    <w:lvl w:ilvl="3" w:tplc="49FA93F0">
      <w:start w:val="1"/>
      <w:numFmt w:val="decimal"/>
      <w:lvlText w:val="%4."/>
      <w:lvlJc w:val="left"/>
      <w:pPr>
        <w:ind w:left="2880" w:hanging="360"/>
      </w:pPr>
    </w:lvl>
    <w:lvl w:ilvl="4" w:tplc="CDC45018">
      <w:start w:val="1"/>
      <w:numFmt w:val="lowerLetter"/>
      <w:lvlText w:val="%5."/>
      <w:lvlJc w:val="left"/>
      <w:pPr>
        <w:ind w:left="3600" w:hanging="360"/>
      </w:pPr>
    </w:lvl>
    <w:lvl w:ilvl="5" w:tplc="2A68554C">
      <w:start w:val="1"/>
      <w:numFmt w:val="lowerRoman"/>
      <w:lvlText w:val="%6."/>
      <w:lvlJc w:val="right"/>
      <w:pPr>
        <w:ind w:left="4320" w:hanging="180"/>
      </w:pPr>
    </w:lvl>
    <w:lvl w:ilvl="6" w:tplc="B45E192A">
      <w:start w:val="1"/>
      <w:numFmt w:val="decimal"/>
      <w:lvlText w:val="%7."/>
      <w:lvlJc w:val="left"/>
      <w:pPr>
        <w:ind w:left="5040" w:hanging="360"/>
      </w:pPr>
    </w:lvl>
    <w:lvl w:ilvl="7" w:tplc="DBF4DE60">
      <w:start w:val="1"/>
      <w:numFmt w:val="lowerLetter"/>
      <w:lvlText w:val="%8."/>
      <w:lvlJc w:val="left"/>
      <w:pPr>
        <w:ind w:left="5760" w:hanging="360"/>
      </w:pPr>
    </w:lvl>
    <w:lvl w:ilvl="8" w:tplc="BB7AA758">
      <w:start w:val="1"/>
      <w:numFmt w:val="lowerRoman"/>
      <w:lvlText w:val="%9."/>
      <w:lvlJc w:val="right"/>
      <w:pPr>
        <w:ind w:left="6480" w:hanging="180"/>
      </w:pPr>
    </w:lvl>
  </w:abstractNum>
  <w:abstractNum w:abstractNumId="9" w15:restartNumberingAfterBreak="0">
    <w:nsid w:val="39E507A7"/>
    <w:multiLevelType w:val="hybridMultilevel"/>
    <w:tmpl w:val="52D42512"/>
    <w:lvl w:ilvl="0" w:tplc="A17A4DB0">
      <w:start w:val="1"/>
      <w:numFmt w:val="decimal"/>
      <w:lvlText w:val="%1."/>
      <w:lvlJc w:val="left"/>
      <w:pPr>
        <w:ind w:left="720" w:hanging="360"/>
      </w:pPr>
    </w:lvl>
    <w:lvl w:ilvl="1" w:tplc="BDDAF040">
      <w:start w:val="1"/>
      <w:numFmt w:val="lowerLetter"/>
      <w:lvlText w:val="%2."/>
      <w:lvlJc w:val="left"/>
      <w:pPr>
        <w:ind w:left="1440" w:hanging="360"/>
      </w:pPr>
    </w:lvl>
    <w:lvl w:ilvl="2" w:tplc="5F9406A6">
      <w:start w:val="1"/>
      <w:numFmt w:val="lowerRoman"/>
      <w:lvlText w:val="%3."/>
      <w:lvlJc w:val="right"/>
      <w:pPr>
        <w:ind w:left="2160" w:hanging="180"/>
      </w:pPr>
    </w:lvl>
    <w:lvl w:ilvl="3" w:tplc="845E7F8A">
      <w:start w:val="1"/>
      <w:numFmt w:val="decimal"/>
      <w:lvlText w:val="%4."/>
      <w:lvlJc w:val="left"/>
      <w:pPr>
        <w:ind w:left="2880" w:hanging="360"/>
      </w:pPr>
    </w:lvl>
    <w:lvl w:ilvl="4" w:tplc="5AE228A0">
      <w:start w:val="1"/>
      <w:numFmt w:val="lowerLetter"/>
      <w:lvlText w:val="%5."/>
      <w:lvlJc w:val="left"/>
      <w:pPr>
        <w:ind w:left="3600" w:hanging="360"/>
      </w:pPr>
    </w:lvl>
    <w:lvl w:ilvl="5" w:tplc="C5083C0A">
      <w:start w:val="1"/>
      <w:numFmt w:val="lowerRoman"/>
      <w:lvlText w:val="%6."/>
      <w:lvlJc w:val="right"/>
      <w:pPr>
        <w:ind w:left="4320" w:hanging="180"/>
      </w:pPr>
    </w:lvl>
    <w:lvl w:ilvl="6" w:tplc="CC3A5F34">
      <w:start w:val="1"/>
      <w:numFmt w:val="decimal"/>
      <w:lvlText w:val="%7."/>
      <w:lvlJc w:val="left"/>
      <w:pPr>
        <w:ind w:left="5040" w:hanging="360"/>
      </w:pPr>
    </w:lvl>
    <w:lvl w:ilvl="7" w:tplc="B7F00F6E">
      <w:start w:val="1"/>
      <w:numFmt w:val="lowerLetter"/>
      <w:lvlText w:val="%8."/>
      <w:lvlJc w:val="left"/>
      <w:pPr>
        <w:ind w:left="5760" w:hanging="360"/>
      </w:pPr>
    </w:lvl>
    <w:lvl w:ilvl="8" w:tplc="43BAC954">
      <w:start w:val="1"/>
      <w:numFmt w:val="lowerRoman"/>
      <w:lvlText w:val="%9."/>
      <w:lvlJc w:val="right"/>
      <w:pPr>
        <w:ind w:left="6480" w:hanging="180"/>
      </w:pPr>
    </w:lvl>
  </w:abstractNum>
  <w:abstractNum w:abstractNumId="10" w15:restartNumberingAfterBreak="0">
    <w:nsid w:val="3DA34692"/>
    <w:multiLevelType w:val="hybridMultilevel"/>
    <w:tmpl w:val="EC2C0AA4"/>
    <w:lvl w:ilvl="0" w:tplc="B622EDBC">
      <w:start w:val="1"/>
      <w:numFmt w:val="decimal"/>
      <w:lvlText w:val="%1."/>
      <w:lvlJc w:val="left"/>
      <w:pPr>
        <w:ind w:left="720" w:hanging="360"/>
      </w:pPr>
    </w:lvl>
    <w:lvl w:ilvl="1" w:tplc="EC1A4566">
      <w:start w:val="1"/>
      <w:numFmt w:val="lowerLetter"/>
      <w:lvlText w:val="%2."/>
      <w:lvlJc w:val="left"/>
      <w:pPr>
        <w:ind w:left="1440" w:hanging="360"/>
      </w:pPr>
    </w:lvl>
    <w:lvl w:ilvl="2" w:tplc="EAF2D072">
      <w:start w:val="1"/>
      <w:numFmt w:val="lowerRoman"/>
      <w:lvlText w:val="%3."/>
      <w:lvlJc w:val="right"/>
      <w:pPr>
        <w:ind w:left="2160" w:hanging="180"/>
      </w:pPr>
    </w:lvl>
    <w:lvl w:ilvl="3" w:tplc="356CD6F6">
      <w:start w:val="1"/>
      <w:numFmt w:val="decimal"/>
      <w:lvlText w:val="%4."/>
      <w:lvlJc w:val="left"/>
      <w:pPr>
        <w:ind w:left="2880" w:hanging="360"/>
      </w:pPr>
    </w:lvl>
    <w:lvl w:ilvl="4" w:tplc="58DC53D8">
      <w:start w:val="1"/>
      <w:numFmt w:val="lowerLetter"/>
      <w:lvlText w:val="%5."/>
      <w:lvlJc w:val="left"/>
      <w:pPr>
        <w:ind w:left="3600" w:hanging="360"/>
      </w:pPr>
    </w:lvl>
    <w:lvl w:ilvl="5" w:tplc="FB82507C">
      <w:start w:val="1"/>
      <w:numFmt w:val="lowerRoman"/>
      <w:lvlText w:val="%6."/>
      <w:lvlJc w:val="right"/>
      <w:pPr>
        <w:ind w:left="4320" w:hanging="180"/>
      </w:pPr>
    </w:lvl>
    <w:lvl w:ilvl="6" w:tplc="FB4C3BDE">
      <w:start w:val="1"/>
      <w:numFmt w:val="decimal"/>
      <w:lvlText w:val="%7."/>
      <w:lvlJc w:val="left"/>
      <w:pPr>
        <w:ind w:left="5040" w:hanging="360"/>
      </w:pPr>
    </w:lvl>
    <w:lvl w:ilvl="7" w:tplc="3A6CB112">
      <w:start w:val="1"/>
      <w:numFmt w:val="lowerLetter"/>
      <w:lvlText w:val="%8."/>
      <w:lvlJc w:val="left"/>
      <w:pPr>
        <w:ind w:left="5760" w:hanging="360"/>
      </w:pPr>
    </w:lvl>
    <w:lvl w:ilvl="8" w:tplc="B7025B98">
      <w:start w:val="1"/>
      <w:numFmt w:val="lowerRoman"/>
      <w:lvlText w:val="%9."/>
      <w:lvlJc w:val="right"/>
      <w:pPr>
        <w:ind w:left="6480" w:hanging="180"/>
      </w:pPr>
    </w:lvl>
  </w:abstractNum>
  <w:abstractNum w:abstractNumId="11" w15:restartNumberingAfterBreak="0">
    <w:nsid w:val="40075FE2"/>
    <w:multiLevelType w:val="hybridMultilevel"/>
    <w:tmpl w:val="66D09D5A"/>
    <w:lvl w:ilvl="0" w:tplc="053E9BA8">
      <w:start w:val="1"/>
      <w:numFmt w:val="decimal"/>
      <w:lvlText w:val="%1."/>
      <w:lvlJc w:val="left"/>
      <w:pPr>
        <w:ind w:left="720" w:hanging="360"/>
      </w:pPr>
    </w:lvl>
    <w:lvl w:ilvl="1" w:tplc="E1588E06">
      <w:start w:val="1"/>
      <w:numFmt w:val="lowerLetter"/>
      <w:lvlText w:val="%2."/>
      <w:lvlJc w:val="left"/>
      <w:pPr>
        <w:ind w:left="1440" w:hanging="360"/>
      </w:pPr>
    </w:lvl>
    <w:lvl w:ilvl="2" w:tplc="E0D86306">
      <w:start w:val="1"/>
      <w:numFmt w:val="lowerRoman"/>
      <w:lvlText w:val="%3."/>
      <w:lvlJc w:val="right"/>
      <w:pPr>
        <w:ind w:left="2160" w:hanging="180"/>
      </w:pPr>
    </w:lvl>
    <w:lvl w:ilvl="3" w:tplc="3580D356">
      <w:start w:val="1"/>
      <w:numFmt w:val="decimal"/>
      <w:lvlText w:val="%4."/>
      <w:lvlJc w:val="left"/>
      <w:pPr>
        <w:ind w:left="2880" w:hanging="360"/>
      </w:pPr>
    </w:lvl>
    <w:lvl w:ilvl="4" w:tplc="44A4938E">
      <w:start w:val="1"/>
      <w:numFmt w:val="lowerLetter"/>
      <w:lvlText w:val="%5."/>
      <w:lvlJc w:val="left"/>
      <w:pPr>
        <w:ind w:left="3600" w:hanging="360"/>
      </w:pPr>
    </w:lvl>
    <w:lvl w:ilvl="5" w:tplc="272062EA">
      <w:start w:val="1"/>
      <w:numFmt w:val="lowerRoman"/>
      <w:lvlText w:val="%6."/>
      <w:lvlJc w:val="right"/>
      <w:pPr>
        <w:ind w:left="4320" w:hanging="180"/>
      </w:pPr>
    </w:lvl>
    <w:lvl w:ilvl="6" w:tplc="301AAEA0">
      <w:start w:val="1"/>
      <w:numFmt w:val="decimal"/>
      <w:lvlText w:val="%7."/>
      <w:lvlJc w:val="left"/>
      <w:pPr>
        <w:ind w:left="5040" w:hanging="360"/>
      </w:pPr>
    </w:lvl>
    <w:lvl w:ilvl="7" w:tplc="DBFCDE8C">
      <w:start w:val="1"/>
      <w:numFmt w:val="lowerLetter"/>
      <w:lvlText w:val="%8."/>
      <w:lvlJc w:val="left"/>
      <w:pPr>
        <w:ind w:left="5760" w:hanging="360"/>
      </w:pPr>
    </w:lvl>
    <w:lvl w:ilvl="8" w:tplc="5D725924">
      <w:start w:val="1"/>
      <w:numFmt w:val="lowerRoman"/>
      <w:lvlText w:val="%9."/>
      <w:lvlJc w:val="right"/>
      <w:pPr>
        <w:ind w:left="6480" w:hanging="180"/>
      </w:pPr>
    </w:lvl>
  </w:abstractNum>
  <w:abstractNum w:abstractNumId="12" w15:restartNumberingAfterBreak="0">
    <w:nsid w:val="44E78FF3"/>
    <w:multiLevelType w:val="hybridMultilevel"/>
    <w:tmpl w:val="27AE8BBC"/>
    <w:lvl w:ilvl="0" w:tplc="4456F206">
      <w:start w:val="1"/>
      <w:numFmt w:val="decimal"/>
      <w:lvlText w:val="%1."/>
      <w:lvlJc w:val="left"/>
      <w:pPr>
        <w:ind w:left="720" w:hanging="360"/>
      </w:pPr>
    </w:lvl>
    <w:lvl w:ilvl="1" w:tplc="7BE20024">
      <w:start w:val="1"/>
      <w:numFmt w:val="lowerLetter"/>
      <w:lvlText w:val="%2."/>
      <w:lvlJc w:val="left"/>
      <w:pPr>
        <w:ind w:left="1440" w:hanging="360"/>
      </w:pPr>
    </w:lvl>
    <w:lvl w:ilvl="2" w:tplc="B4DCF392">
      <w:start w:val="1"/>
      <w:numFmt w:val="lowerRoman"/>
      <w:lvlText w:val="%3."/>
      <w:lvlJc w:val="right"/>
      <w:pPr>
        <w:ind w:left="2160" w:hanging="180"/>
      </w:pPr>
    </w:lvl>
    <w:lvl w:ilvl="3" w:tplc="E04EC9A6">
      <w:start w:val="1"/>
      <w:numFmt w:val="decimal"/>
      <w:lvlText w:val="%4."/>
      <w:lvlJc w:val="left"/>
      <w:pPr>
        <w:ind w:left="2880" w:hanging="360"/>
      </w:pPr>
    </w:lvl>
    <w:lvl w:ilvl="4" w:tplc="8CD8E154">
      <w:start w:val="1"/>
      <w:numFmt w:val="lowerLetter"/>
      <w:lvlText w:val="%5."/>
      <w:lvlJc w:val="left"/>
      <w:pPr>
        <w:ind w:left="3600" w:hanging="360"/>
      </w:pPr>
    </w:lvl>
    <w:lvl w:ilvl="5" w:tplc="063A203E">
      <w:start w:val="1"/>
      <w:numFmt w:val="lowerRoman"/>
      <w:lvlText w:val="%6."/>
      <w:lvlJc w:val="right"/>
      <w:pPr>
        <w:ind w:left="4320" w:hanging="180"/>
      </w:pPr>
    </w:lvl>
    <w:lvl w:ilvl="6" w:tplc="46208580">
      <w:start w:val="1"/>
      <w:numFmt w:val="decimal"/>
      <w:lvlText w:val="%7."/>
      <w:lvlJc w:val="left"/>
      <w:pPr>
        <w:ind w:left="5040" w:hanging="360"/>
      </w:pPr>
    </w:lvl>
    <w:lvl w:ilvl="7" w:tplc="1A20A3DE">
      <w:start w:val="1"/>
      <w:numFmt w:val="lowerLetter"/>
      <w:lvlText w:val="%8."/>
      <w:lvlJc w:val="left"/>
      <w:pPr>
        <w:ind w:left="5760" w:hanging="360"/>
      </w:pPr>
    </w:lvl>
    <w:lvl w:ilvl="8" w:tplc="F6A4B5FA">
      <w:start w:val="1"/>
      <w:numFmt w:val="lowerRoman"/>
      <w:lvlText w:val="%9."/>
      <w:lvlJc w:val="right"/>
      <w:pPr>
        <w:ind w:left="6480" w:hanging="180"/>
      </w:pPr>
    </w:lvl>
  </w:abstractNum>
  <w:abstractNum w:abstractNumId="13" w15:restartNumberingAfterBreak="0">
    <w:nsid w:val="52284EFE"/>
    <w:multiLevelType w:val="hybridMultilevel"/>
    <w:tmpl w:val="0F0A4208"/>
    <w:lvl w:ilvl="0" w:tplc="82BA92E8">
      <w:start w:val="1"/>
      <w:numFmt w:val="bullet"/>
      <w:lvlText w:val=""/>
      <w:lvlJc w:val="left"/>
      <w:pPr>
        <w:ind w:left="720" w:hanging="360"/>
      </w:pPr>
      <w:rPr>
        <w:rFonts w:ascii="Symbol" w:hAnsi="Symbol" w:hint="default"/>
      </w:rPr>
    </w:lvl>
    <w:lvl w:ilvl="1" w:tplc="4C1064C4">
      <w:start w:val="1"/>
      <w:numFmt w:val="bullet"/>
      <w:lvlText w:val="o"/>
      <w:lvlJc w:val="left"/>
      <w:pPr>
        <w:ind w:left="1440" w:hanging="360"/>
      </w:pPr>
      <w:rPr>
        <w:rFonts w:ascii="Courier New" w:hAnsi="Courier New" w:hint="default"/>
      </w:rPr>
    </w:lvl>
    <w:lvl w:ilvl="2" w:tplc="20AE1D54">
      <w:start w:val="1"/>
      <w:numFmt w:val="bullet"/>
      <w:lvlText w:val=""/>
      <w:lvlJc w:val="left"/>
      <w:pPr>
        <w:ind w:left="2160" w:hanging="360"/>
      </w:pPr>
      <w:rPr>
        <w:rFonts w:ascii="Wingdings" w:hAnsi="Wingdings" w:hint="default"/>
      </w:rPr>
    </w:lvl>
    <w:lvl w:ilvl="3" w:tplc="79204DF8">
      <w:start w:val="1"/>
      <w:numFmt w:val="bullet"/>
      <w:lvlText w:val=""/>
      <w:lvlJc w:val="left"/>
      <w:pPr>
        <w:ind w:left="2880" w:hanging="360"/>
      </w:pPr>
      <w:rPr>
        <w:rFonts w:ascii="Symbol" w:hAnsi="Symbol" w:hint="default"/>
      </w:rPr>
    </w:lvl>
    <w:lvl w:ilvl="4" w:tplc="894232D8">
      <w:start w:val="1"/>
      <w:numFmt w:val="bullet"/>
      <w:lvlText w:val="o"/>
      <w:lvlJc w:val="left"/>
      <w:pPr>
        <w:ind w:left="3600" w:hanging="360"/>
      </w:pPr>
      <w:rPr>
        <w:rFonts w:ascii="Courier New" w:hAnsi="Courier New" w:hint="default"/>
      </w:rPr>
    </w:lvl>
    <w:lvl w:ilvl="5" w:tplc="FA6CB580">
      <w:start w:val="1"/>
      <w:numFmt w:val="bullet"/>
      <w:lvlText w:val=""/>
      <w:lvlJc w:val="left"/>
      <w:pPr>
        <w:ind w:left="4320" w:hanging="360"/>
      </w:pPr>
      <w:rPr>
        <w:rFonts w:ascii="Wingdings" w:hAnsi="Wingdings" w:hint="default"/>
      </w:rPr>
    </w:lvl>
    <w:lvl w:ilvl="6" w:tplc="761EDC24">
      <w:start w:val="1"/>
      <w:numFmt w:val="bullet"/>
      <w:lvlText w:val=""/>
      <w:lvlJc w:val="left"/>
      <w:pPr>
        <w:ind w:left="5040" w:hanging="360"/>
      </w:pPr>
      <w:rPr>
        <w:rFonts w:ascii="Symbol" w:hAnsi="Symbol" w:hint="default"/>
      </w:rPr>
    </w:lvl>
    <w:lvl w:ilvl="7" w:tplc="02ACD876">
      <w:start w:val="1"/>
      <w:numFmt w:val="bullet"/>
      <w:lvlText w:val="o"/>
      <w:lvlJc w:val="left"/>
      <w:pPr>
        <w:ind w:left="5760" w:hanging="360"/>
      </w:pPr>
      <w:rPr>
        <w:rFonts w:ascii="Courier New" w:hAnsi="Courier New" w:hint="default"/>
      </w:rPr>
    </w:lvl>
    <w:lvl w:ilvl="8" w:tplc="D3585C68">
      <w:start w:val="1"/>
      <w:numFmt w:val="bullet"/>
      <w:lvlText w:val=""/>
      <w:lvlJc w:val="left"/>
      <w:pPr>
        <w:ind w:left="6480" w:hanging="360"/>
      </w:pPr>
      <w:rPr>
        <w:rFonts w:ascii="Wingdings" w:hAnsi="Wingdings" w:hint="default"/>
      </w:rPr>
    </w:lvl>
  </w:abstractNum>
  <w:abstractNum w:abstractNumId="14" w15:restartNumberingAfterBreak="0">
    <w:nsid w:val="580BB31D"/>
    <w:multiLevelType w:val="hybridMultilevel"/>
    <w:tmpl w:val="C73011BC"/>
    <w:lvl w:ilvl="0" w:tplc="DEA045AA">
      <w:start w:val="1"/>
      <w:numFmt w:val="decimal"/>
      <w:lvlText w:val="%1."/>
      <w:lvlJc w:val="left"/>
      <w:pPr>
        <w:ind w:left="720" w:hanging="360"/>
      </w:pPr>
    </w:lvl>
    <w:lvl w:ilvl="1" w:tplc="FD44B22C">
      <w:start w:val="1"/>
      <w:numFmt w:val="lowerLetter"/>
      <w:lvlText w:val="%2."/>
      <w:lvlJc w:val="left"/>
      <w:pPr>
        <w:ind w:left="1440" w:hanging="360"/>
      </w:pPr>
    </w:lvl>
    <w:lvl w:ilvl="2" w:tplc="EB7A348A">
      <w:start w:val="1"/>
      <w:numFmt w:val="lowerRoman"/>
      <w:lvlText w:val="%3."/>
      <w:lvlJc w:val="right"/>
      <w:pPr>
        <w:ind w:left="2160" w:hanging="180"/>
      </w:pPr>
    </w:lvl>
    <w:lvl w:ilvl="3" w:tplc="FE1AD100">
      <w:start w:val="1"/>
      <w:numFmt w:val="decimal"/>
      <w:lvlText w:val="%4."/>
      <w:lvlJc w:val="left"/>
      <w:pPr>
        <w:ind w:left="2880" w:hanging="360"/>
      </w:pPr>
    </w:lvl>
    <w:lvl w:ilvl="4" w:tplc="65AE55B8">
      <w:start w:val="1"/>
      <w:numFmt w:val="lowerLetter"/>
      <w:lvlText w:val="%5."/>
      <w:lvlJc w:val="left"/>
      <w:pPr>
        <w:ind w:left="3600" w:hanging="360"/>
      </w:pPr>
    </w:lvl>
    <w:lvl w:ilvl="5" w:tplc="D9DA0428">
      <w:start w:val="1"/>
      <w:numFmt w:val="lowerRoman"/>
      <w:lvlText w:val="%6."/>
      <w:lvlJc w:val="right"/>
      <w:pPr>
        <w:ind w:left="4320" w:hanging="180"/>
      </w:pPr>
    </w:lvl>
    <w:lvl w:ilvl="6" w:tplc="E69ED712">
      <w:start w:val="1"/>
      <w:numFmt w:val="decimal"/>
      <w:lvlText w:val="%7."/>
      <w:lvlJc w:val="left"/>
      <w:pPr>
        <w:ind w:left="5040" w:hanging="360"/>
      </w:pPr>
    </w:lvl>
    <w:lvl w:ilvl="7" w:tplc="8C46E316">
      <w:start w:val="1"/>
      <w:numFmt w:val="lowerLetter"/>
      <w:lvlText w:val="%8."/>
      <w:lvlJc w:val="left"/>
      <w:pPr>
        <w:ind w:left="5760" w:hanging="360"/>
      </w:pPr>
    </w:lvl>
    <w:lvl w:ilvl="8" w:tplc="701C4B56">
      <w:start w:val="1"/>
      <w:numFmt w:val="lowerRoman"/>
      <w:lvlText w:val="%9."/>
      <w:lvlJc w:val="right"/>
      <w:pPr>
        <w:ind w:left="6480" w:hanging="180"/>
      </w:pPr>
    </w:lvl>
  </w:abstractNum>
  <w:abstractNum w:abstractNumId="15" w15:restartNumberingAfterBreak="0">
    <w:nsid w:val="663A040B"/>
    <w:multiLevelType w:val="hybridMultilevel"/>
    <w:tmpl w:val="71B4A85C"/>
    <w:lvl w:ilvl="0" w:tplc="75526694">
      <w:start w:val="1"/>
      <w:numFmt w:val="bullet"/>
      <w:lvlText w:val=""/>
      <w:lvlJc w:val="left"/>
      <w:pPr>
        <w:ind w:left="720" w:hanging="360"/>
      </w:pPr>
      <w:rPr>
        <w:rFonts w:ascii="Symbol" w:hAnsi="Symbol" w:hint="default"/>
      </w:rPr>
    </w:lvl>
    <w:lvl w:ilvl="1" w:tplc="B02ADD3E">
      <w:start w:val="1"/>
      <w:numFmt w:val="bullet"/>
      <w:lvlText w:val="o"/>
      <w:lvlJc w:val="left"/>
      <w:pPr>
        <w:ind w:left="1440" w:hanging="360"/>
      </w:pPr>
      <w:rPr>
        <w:rFonts w:ascii="Courier New" w:hAnsi="Courier New" w:hint="default"/>
      </w:rPr>
    </w:lvl>
    <w:lvl w:ilvl="2" w:tplc="3ABA3EA0">
      <w:start w:val="1"/>
      <w:numFmt w:val="bullet"/>
      <w:lvlText w:val=""/>
      <w:lvlJc w:val="left"/>
      <w:pPr>
        <w:ind w:left="2160" w:hanging="360"/>
      </w:pPr>
      <w:rPr>
        <w:rFonts w:ascii="Wingdings" w:hAnsi="Wingdings" w:hint="default"/>
      </w:rPr>
    </w:lvl>
    <w:lvl w:ilvl="3" w:tplc="02028476">
      <w:start w:val="1"/>
      <w:numFmt w:val="bullet"/>
      <w:lvlText w:val=""/>
      <w:lvlJc w:val="left"/>
      <w:pPr>
        <w:ind w:left="2880" w:hanging="360"/>
      </w:pPr>
      <w:rPr>
        <w:rFonts w:ascii="Symbol" w:hAnsi="Symbol" w:hint="default"/>
      </w:rPr>
    </w:lvl>
    <w:lvl w:ilvl="4" w:tplc="49E0A660">
      <w:start w:val="1"/>
      <w:numFmt w:val="bullet"/>
      <w:lvlText w:val="o"/>
      <w:lvlJc w:val="left"/>
      <w:pPr>
        <w:ind w:left="3600" w:hanging="360"/>
      </w:pPr>
      <w:rPr>
        <w:rFonts w:ascii="Courier New" w:hAnsi="Courier New" w:hint="default"/>
      </w:rPr>
    </w:lvl>
    <w:lvl w:ilvl="5" w:tplc="2E04A14C">
      <w:start w:val="1"/>
      <w:numFmt w:val="bullet"/>
      <w:lvlText w:val=""/>
      <w:lvlJc w:val="left"/>
      <w:pPr>
        <w:ind w:left="4320" w:hanging="360"/>
      </w:pPr>
      <w:rPr>
        <w:rFonts w:ascii="Wingdings" w:hAnsi="Wingdings" w:hint="default"/>
      </w:rPr>
    </w:lvl>
    <w:lvl w:ilvl="6" w:tplc="6472EAAC">
      <w:start w:val="1"/>
      <w:numFmt w:val="bullet"/>
      <w:lvlText w:val=""/>
      <w:lvlJc w:val="left"/>
      <w:pPr>
        <w:ind w:left="5040" w:hanging="360"/>
      </w:pPr>
      <w:rPr>
        <w:rFonts w:ascii="Symbol" w:hAnsi="Symbol" w:hint="default"/>
      </w:rPr>
    </w:lvl>
    <w:lvl w:ilvl="7" w:tplc="7318D292">
      <w:start w:val="1"/>
      <w:numFmt w:val="bullet"/>
      <w:lvlText w:val="o"/>
      <w:lvlJc w:val="left"/>
      <w:pPr>
        <w:ind w:left="5760" w:hanging="360"/>
      </w:pPr>
      <w:rPr>
        <w:rFonts w:ascii="Courier New" w:hAnsi="Courier New" w:hint="default"/>
      </w:rPr>
    </w:lvl>
    <w:lvl w:ilvl="8" w:tplc="D28CD8B6">
      <w:start w:val="1"/>
      <w:numFmt w:val="bullet"/>
      <w:lvlText w:val=""/>
      <w:lvlJc w:val="left"/>
      <w:pPr>
        <w:ind w:left="6480" w:hanging="360"/>
      </w:pPr>
      <w:rPr>
        <w:rFonts w:ascii="Wingdings" w:hAnsi="Wingdings" w:hint="default"/>
      </w:rPr>
    </w:lvl>
  </w:abstractNum>
  <w:abstractNum w:abstractNumId="16" w15:restartNumberingAfterBreak="0">
    <w:nsid w:val="666966DD"/>
    <w:multiLevelType w:val="hybridMultilevel"/>
    <w:tmpl w:val="EED4D070"/>
    <w:lvl w:ilvl="0" w:tplc="FBB04EB4">
      <w:start w:val="1"/>
      <w:numFmt w:val="decimal"/>
      <w:lvlText w:val="%1."/>
      <w:lvlJc w:val="left"/>
      <w:pPr>
        <w:ind w:left="720" w:hanging="360"/>
      </w:pPr>
    </w:lvl>
    <w:lvl w:ilvl="1" w:tplc="C8060F54">
      <w:start w:val="1"/>
      <w:numFmt w:val="lowerLetter"/>
      <w:lvlText w:val="%2."/>
      <w:lvlJc w:val="left"/>
      <w:pPr>
        <w:ind w:left="1440" w:hanging="360"/>
      </w:pPr>
    </w:lvl>
    <w:lvl w:ilvl="2" w:tplc="80B41808">
      <w:start w:val="1"/>
      <w:numFmt w:val="lowerRoman"/>
      <w:lvlText w:val="%3."/>
      <w:lvlJc w:val="right"/>
      <w:pPr>
        <w:ind w:left="2160" w:hanging="180"/>
      </w:pPr>
    </w:lvl>
    <w:lvl w:ilvl="3" w:tplc="33BE5E40">
      <w:start w:val="1"/>
      <w:numFmt w:val="decimal"/>
      <w:lvlText w:val="%4."/>
      <w:lvlJc w:val="left"/>
      <w:pPr>
        <w:ind w:left="2880" w:hanging="360"/>
      </w:pPr>
    </w:lvl>
    <w:lvl w:ilvl="4" w:tplc="2EB05AB2">
      <w:start w:val="1"/>
      <w:numFmt w:val="lowerLetter"/>
      <w:lvlText w:val="%5."/>
      <w:lvlJc w:val="left"/>
      <w:pPr>
        <w:ind w:left="3600" w:hanging="360"/>
      </w:pPr>
    </w:lvl>
    <w:lvl w:ilvl="5" w:tplc="E90CFDBC">
      <w:start w:val="1"/>
      <w:numFmt w:val="lowerRoman"/>
      <w:lvlText w:val="%6."/>
      <w:lvlJc w:val="right"/>
      <w:pPr>
        <w:ind w:left="4320" w:hanging="180"/>
      </w:pPr>
    </w:lvl>
    <w:lvl w:ilvl="6" w:tplc="A26E07E8">
      <w:start w:val="1"/>
      <w:numFmt w:val="decimal"/>
      <w:lvlText w:val="%7."/>
      <w:lvlJc w:val="left"/>
      <w:pPr>
        <w:ind w:left="5040" w:hanging="360"/>
      </w:pPr>
    </w:lvl>
    <w:lvl w:ilvl="7" w:tplc="97BEE7DE">
      <w:start w:val="1"/>
      <w:numFmt w:val="lowerLetter"/>
      <w:lvlText w:val="%8."/>
      <w:lvlJc w:val="left"/>
      <w:pPr>
        <w:ind w:left="5760" w:hanging="360"/>
      </w:pPr>
    </w:lvl>
    <w:lvl w:ilvl="8" w:tplc="DBE43BAE">
      <w:start w:val="1"/>
      <w:numFmt w:val="lowerRoman"/>
      <w:lvlText w:val="%9."/>
      <w:lvlJc w:val="right"/>
      <w:pPr>
        <w:ind w:left="6480" w:hanging="180"/>
      </w:pPr>
    </w:lvl>
  </w:abstractNum>
  <w:abstractNum w:abstractNumId="17" w15:restartNumberingAfterBreak="0">
    <w:nsid w:val="6B3EF851"/>
    <w:multiLevelType w:val="hybridMultilevel"/>
    <w:tmpl w:val="CDFE027C"/>
    <w:lvl w:ilvl="0" w:tplc="CF42D4EE">
      <w:start w:val="1"/>
      <w:numFmt w:val="decimal"/>
      <w:lvlText w:val="%1."/>
      <w:lvlJc w:val="left"/>
      <w:pPr>
        <w:ind w:left="720" w:hanging="360"/>
      </w:pPr>
    </w:lvl>
    <w:lvl w:ilvl="1" w:tplc="327297E2">
      <w:start w:val="1"/>
      <w:numFmt w:val="lowerLetter"/>
      <w:lvlText w:val="%2."/>
      <w:lvlJc w:val="left"/>
      <w:pPr>
        <w:ind w:left="1440" w:hanging="360"/>
      </w:pPr>
    </w:lvl>
    <w:lvl w:ilvl="2" w:tplc="506EFD4C">
      <w:start w:val="1"/>
      <w:numFmt w:val="lowerRoman"/>
      <w:lvlText w:val="%3."/>
      <w:lvlJc w:val="right"/>
      <w:pPr>
        <w:ind w:left="2160" w:hanging="180"/>
      </w:pPr>
    </w:lvl>
    <w:lvl w:ilvl="3" w:tplc="13FAC1D6">
      <w:start w:val="1"/>
      <w:numFmt w:val="decimal"/>
      <w:lvlText w:val="%4."/>
      <w:lvlJc w:val="left"/>
      <w:pPr>
        <w:ind w:left="2880" w:hanging="360"/>
      </w:pPr>
    </w:lvl>
    <w:lvl w:ilvl="4" w:tplc="A210C752">
      <w:start w:val="1"/>
      <w:numFmt w:val="lowerLetter"/>
      <w:lvlText w:val="%5."/>
      <w:lvlJc w:val="left"/>
      <w:pPr>
        <w:ind w:left="3600" w:hanging="360"/>
      </w:pPr>
    </w:lvl>
    <w:lvl w:ilvl="5" w:tplc="182A4CCA">
      <w:start w:val="1"/>
      <w:numFmt w:val="lowerRoman"/>
      <w:lvlText w:val="%6."/>
      <w:lvlJc w:val="right"/>
      <w:pPr>
        <w:ind w:left="4320" w:hanging="180"/>
      </w:pPr>
    </w:lvl>
    <w:lvl w:ilvl="6" w:tplc="75EC5CCC">
      <w:start w:val="1"/>
      <w:numFmt w:val="decimal"/>
      <w:lvlText w:val="%7."/>
      <w:lvlJc w:val="left"/>
      <w:pPr>
        <w:ind w:left="5040" w:hanging="360"/>
      </w:pPr>
    </w:lvl>
    <w:lvl w:ilvl="7" w:tplc="70A26EFC">
      <w:start w:val="1"/>
      <w:numFmt w:val="lowerLetter"/>
      <w:lvlText w:val="%8."/>
      <w:lvlJc w:val="left"/>
      <w:pPr>
        <w:ind w:left="5760" w:hanging="360"/>
      </w:pPr>
    </w:lvl>
    <w:lvl w:ilvl="8" w:tplc="21DEBA8A">
      <w:start w:val="1"/>
      <w:numFmt w:val="lowerRoman"/>
      <w:lvlText w:val="%9."/>
      <w:lvlJc w:val="right"/>
      <w:pPr>
        <w:ind w:left="6480" w:hanging="180"/>
      </w:pPr>
    </w:lvl>
  </w:abstractNum>
  <w:abstractNum w:abstractNumId="18" w15:restartNumberingAfterBreak="0">
    <w:nsid w:val="6E895861"/>
    <w:multiLevelType w:val="hybridMultilevel"/>
    <w:tmpl w:val="C128CB66"/>
    <w:lvl w:ilvl="0" w:tplc="940AC210">
      <w:start w:val="1"/>
      <w:numFmt w:val="decimal"/>
      <w:lvlText w:val="%1."/>
      <w:lvlJc w:val="left"/>
      <w:pPr>
        <w:ind w:left="720" w:hanging="360"/>
      </w:pPr>
    </w:lvl>
    <w:lvl w:ilvl="1" w:tplc="58985328">
      <w:start w:val="1"/>
      <w:numFmt w:val="lowerLetter"/>
      <w:lvlText w:val="%2."/>
      <w:lvlJc w:val="left"/>
      <w:pPr>
        <w:ind w:left="1440" w:hanging="360"/>
      </w:pPr>
    </w:lvl>
    <w:lvl w:ilvl="2" w:tplc="8C1C7B52">
      <w:start w:val="1"/>
      <w:numFmt w:val="lowerRoman"/>
      <w:lvlText w:val="%3."/>
      <w:lvlJc w:val="right"/>
      <w:pPr>
        <w:ind w:left="2160" w:hanging="180"/>
      </w:pPr>
    </w:lvl>
    <w:lvl w:ilvl="3" w:tplc="6E12149E">
      <w:start w:val="1"/>
      <w:numFmt w:val="decimal"/>
      <w:lvlText w:val="%4."/>
      <w:lvlJc w:val="left"/>
      <w:pPr>
        <w:ind w:left="2880" w:hanging="360"/>
      </w:pPr>
    </w:lvl>
    <w:lvl w:ilvl="4" w:tplc="3C8E8BDA">
      <w:start w:val="1"/>
      <w:numFmt w:val="lowerLetter"/>
      <w:lvlText w:val="%5."/>
      <w:lvlJc w:val="left"/>
      <w:pPr>
        <w:ind w:left="3600" w:hanging="360"/>
      </w:pPr>
    </w:lvl>
    <w:lvl w:ilvl="5" w:tplc="C554BE54">
      <w:start w:val="1"/>
      <w:numFmt w:val="lowerRoman"/>
      <w:lvlText w:val="%6."/>
      <w:lvlJc w:val="right"/>
      <w:pPr>
        <w:ind w:left="4320" w:hanging="180"/>
      </w:pPr>
    </w:lvl>
    <w:lvl w:ilvl="6" w:tplc="3B660400">
      <w:start w:val="1"/>
      <w:numFmt w:val="decimal"/>
      <w:lvlText w:val="%7."/>
      <w:lvlJc w:val="left"/>
      <w:pPr>
        <w:ind w:left="5040" w:hanging="360"/>
      </w:pPr>
    </w:lvl>
    <w:lvl w:ilvl="7" w:tplc="C2D278DA">
      <w:start w:val="1"/>
      <w:numFmt w:val="lowerLetter"/>
      <w:lvlText w:val="%8."/>
      <w:lvlJc w:val="left"/>
      <w:pPr>
        <w:ind w:left="5760" w:hanging="360"/>
      </w:pPr>
    </w:lvl>
    <w:lvl w:ilvl="8" w:tplc="B31CBC18">
      <w:start w:val="1"/>
      <w:numFmt w:val="lowerRoman"/>
      <w:lvlText w:val="%9."/>
      <w:lvlJc w:val="right"/>
      <w:pPr>
        <w:ind w:left="6480" w:hanging="180"/>
      </w:pPr>
    </w:lvl>
  </w:abstractNum>
  <w:abstractNum w:abstractNumId="19" w15:restartNumberingAfterBreak="0">
    <w:nsid w:val="742772EB"/>
    <w:multiLevelType w:val="hybridMultilevel"/>
    <w:tmpl w:val="3274FA90"/>
    <w:lvl w:ilvl="0" w:tplc="FD462B1E">
      <w:start w:val="1"/>
      <w:numFmt w:val="decimal"/>
      <w:lvlText w:val="%1."/>
      <w:lvlJc w:val="left"/>
      <w:pPr>
        <w:ind w:left="720" w:hanging="360"/>
      </w:pPr>
    </w:lvl>
    <w:lvl w:ilvl="1" w:tplc="8EBC3D8C">
      <w:start w:val="1"/>
      <w:numFmt w:val="lowerLetter"/>
      <w:lvlText w:val="%2."/>
      <w:lvlJc w:val="left"/>
      <w:pPr>
        <w:ind w:left="1440" w:hanging="360"/>
      </w:pPr>
    </w:lvl>
    <w:lvl w:ilvl="2" w:tplc="6F0480E2">
      <w:start w:val="1"/>
      <w:numFmt w:val="lowerRoman"/>
      <w:lvlText w:val="%3."/>
      <w:lvlJc w:val="right"/>
      <w:pPr>
        <w:ind w:left="2160" w:hanging="180"/>
      </w:pPr>
    </w:lvl>
    <w:lvl w:ilvl="3" w:tplc="DBD03A46">
      <w:start w:val="1"/>
      <w:numFmt w:val="decimal"/>
      <w:lvlText w:val="%4."/>
      <w:lvlJc w:val="left"/>
      <w:pPr>
        <w:ind w:left="2880" w:hanging="360"/>
      </w:pPr>
    </w:lvl>
    <w:lvl w:ilvl="4" w:tplc="D778AD14">
      <w:start w:val="1"/>
      <w:numFmt w:val="lowerLetter"/>
      <w:lvlText w:val="%5."/>
      <w:lvlJc w:val="left"/>
      <w:pPr>
        <w:ind w:left="3600" w:hanging="360"/>
      </w:pPr>
    </w:lvl>
    <w:lvl w:ilvl="5" w:tplc="5FA26426">
      <w:start w:val="1"/>
      <w:numFmt w:val="lowerRoman"/>
      <w:lvlText w:val="%6."/>
      <w:lvlJc w:val="right"/>
      <w:pPr>
        <w:ind w:left="4320" w:hanging="180"/>
      </w:pPr>
    </w:lvl>
    <w:lvl w:ilvl="6" w:tplc="6686C358">
      <w:start w:val="1"/>
      <w:numFmt w:val="decimal"/>
      <w:lvlText w:val="%7."/>
      <w:lvlJc w:val="left"/>
      <w:pPr>
        <w:ind w:left="5040" w:hanging="360"/>
      </w:pPr>
    </w:lvl>
    <w:lvl w:ilvl="7" w:tplc="BC802722">
      <w:start w:val="1"/>
      <w:numFmt w:val="lowerLetter"/>
      <w:lvlText w:val="%8."/>
      <w:lvlJc w:val="left"/>
      <w:pPr>
        <w:ind w:left="5760" w:hanging="360"/>
      </w:pPr>
    </w:lvl>
    <w:lvl w:ilvl="8" w:tplc="B1F82CF6">
      <w:start w:val="1"/>
      <w:numFmt w:val="lowerRoman"/>
      <w:lvlText w:val="%9."/>
      <w:lvlJc w:val="right"/>
      <w:pPr>
        <w:ind w:left="6480" w:hanging="180"/>
      </w:pPr>
    </w:lvl>
  </w:abstractNum>
  <w:abstractNum w:abstractNumId="20" w15:restartNumberingAfterBreak="0">
    <w:nsid w:val="74828BC5"/>
    <w:multiLevelType w:val="hybridMultilevel"/>
    <w:tmpl w:val="522E3AA6"/>
    <w:lvl w:ilvl="0" w:tplc="442CB9E8">
      <w:start w:val="1"/>
      <w:numFmt w:val="decimal"/>
      <w:lvlText w:val="%1."/>
      <w:lvlJc w:val="left"/>
      <w:pPr>
        <w:ind w:left="720" w:hanging="360"/>
      </w:pPr>
    </w:lvl>
    <w:lvl w:ilvl="1" w:tplc="7F88E67C">
      <w:start w:val="1"/>
      <w:numFmt w:val="lowerLetter"/>
      <w:lvlText w:val="%2."/>
      <w:lvlJc w:val="left"/>
      <w:pPr>
        <w:ind w:left="1440" w:hanging="360"/>
      </w:pPr>
    </w:lvl>
    <w:lvl w:ilvl="2" w:tplc="BA003F80">
      <w:start w:val="1"/>
      <w:numFmt w:val="lowerRoman"/>
      <w:lvlText w:val="%3."/>
      <w:lvlJc w:val="right"/>
      <w:pPr>
        <w:ind w:left="2160" w:hanging="180"/>
      </w:pPr>
    </w:lvl>
    <w:lvl w:ilvl="3" w:tplc="9EE64E28">
      <w:start w:val="1"/>
      <w:numFmt w:val="decimal"/>
      <w:lvlText w:val="%4."/>
      <w:lvlJc w:val="left"/>
      <w:pPr>
        <w:ind w:left="2880" w:hanging="360"/>
      </w:pPr>
    </w:lvl>
    <w:lvl w:ilvl="4" w:tplc="E2DCC4B2">
      <w:start w:val="1"/>
      <w:numFmt w:val="lowerLetter"/>
      <w:lvlText w:val="%5."/>
      <w:lvlJc w:val="left"/>
      <w:pPr>
        <w:ind w:left="3600" w:hanging="360"/>
      </w:pPr>
    </w:lvl>
    <w:lvl w:ilvl="5" w:tplc="64E03BE8">
      <w:start w:val="1"/>
      <w:numFmt w:val="lowerRoman"/>
      <w:lvlText w:val="%6."/>
      <w:lvlJc w:val="right"/>
      <w:pPr>
        <w:ind w:left="4320" w:hanging="180"/>
      </w:pPr>
    </w:lvl>
    <w:lvl w:ilvl="6" w:tplc="AD0C56E6">
      <w:start w:val="1"/>
      <w:numFmt w:val="decimal"/>
      <w:lvlText w:val="%7."/>
      <w:lvlJc w:val="left"/>
      <w:pPr>
        <w:ind w:left="5040" w:hanging="360"/>
      </w:pPr>
    </w:lvl>
    <w:lvl w:ilvl="7" w:tplc="4AD40CC0">
      <w:start w:val="1"/>
      <w:numFmt w:val="lowerLetter"/>
      <w:lvlText w:val="%8."/>
      <w:lvlJc w:val="left"/>
      <w:pPr>
        <w:ind w:left="5760" w:hanging="360"/>
      </w:pPr>
    </w:lvl>
    <w:lvl w:ilvl="8" w:tplc="7BA02EFC">
      <w:start w:val="1"/>
      <w:numFmt w:val="lowerRoman"/>
      <w:lvlText w:val="%9."/>
      <w:lvlJc w:val="right"/>
      <w:pPr>
        <w:ind w:left="6480" w:hanging="180"/>
      </w:pPr>
    </w:lvl>
  </w:abstractNum>
  <w:abstractNum w:abstractNumId="21" w15:restartNumberingAfterBreak="0">
    <w:nsid w:val="7C531445"/>
    <w:multiLevelType w:val="hybridMultilevel"/>
    <w:tmpl w:val="5F6E76D8"/>
    <w:lvl w:ilvl="0" w:tplc="9E14E858">
      <w:start w:val="1"/>
      <w:numFmt w:val="decimal"/>
      <w:lvlText w:val="%1."/>
      <w:lvlJc w:val="left"/>
      <w:pPr>
        <w:ind w:left="720" w:hanging="360"/>
      </w:pPr>
    </w:lvl>
    <w:lvl w:ilvl="1" w:tplc="2F96E772">
      <w:start w:val="1"/>
      <w:numFmt w:val="lowerLetter"/>
      <w:lvlText w:val="%2."/>
      <w:lvlJc w:val="left"/>
      <w:pPr>
        <w:ind w:left="1440" w:hanging="360"/>
      </w:pPr>
    </w:lvl>
    <w:lvl w:ilvl="2" w:tplc="C6DA30FC">
      <w:start w:val="1"/>
      <w:numFmt w:val="lowerRoman"/>
      <w:lvlText w:val="%3."/>
      <w:lvlJc w:val="right"/>
      <w:pPr>
        <w:ind w:left="2160" w:hanging="180"/>
      </w:pPr>
    </w:lvl>
    <w:lvl w:ilvl="3" w:tplc="A5485EA4">
      <w:start w:val="1"/>
      <w:numFmt w:val="decimal"/>
      <w:lvlText w:val="%4."/>
      <w:lvlJc w:val="left"/>
      <w:pPr>
        <w:ind w:left="2880" w:hanging="360"/>
      </w:pPr>
    </w:lvl>
    <w:lvl w:ilvl="4" w:tplc="4FF4A2E8">
      <w:start w:val="1"/>
      <w:numFmt w:val="lowerLetter"/>
      <w:lvlText w:val="%5."/>
      <w:lvlJc w:val="left"/>
      <w:pPr>
        <w:ind w:left="3600" w:hanging="360"/>
      </w:pPr>
    </w:lvl>
    <w:lvl w:ilvl="5" w:tplc="50C64238">
      <w:start w:val="1"/>
      <w:numFmt w:val="lowerRoman"/>
      <w:lvlText w:val="%6."/>
      <w:lvlJc w:val="right"/>
      <w:pPr>
        <w:ind w:left="4320" w:hanging="180"/>
      </w:pPr>
    </w:lvl>
    <w:lvl w:ilvl="6" w:tplc="C5469CA2">
      <w:start w:val="1"/>
      <w:numFmt w:val="decimal"/>
      <w:lvlText w:val="%7."/>
      <w:lvlJc w:val="left"/>
      <w:pPr>
        <w:ind w:left="5040" w:hanging="360"/>
      </w:pPr>
    </w:lvl>
    <w:lvl w:ilvl="7" w:tplc="785E1FE0">
      <w:start w:val="1"/>
      <w:numFmt w:val="lowerLetter"/>
      <w:lvlText w:val="%8."/>
      <w:lvlJc w:val="left"/>
      <w:pPr>
        <w:ind w:left="5760" w:hanging="360"/>
      </w:pPr>
    </w:lvl>
    <w:lvl w:ilvl="8" w:tplc="164EFB7C">
      <w:start w:val="1"/>
      <w:numFmt w:val="lowerRoman"/>
      <w:lvlText w:val="%9."/>
      <w:lvlJc w:val="right"/>
      <w:pPr>
        <w:ind w:left="6480" w:hanging="180"/>
      </w:pPr>
    </w:lvl>
  </w:abstractNum>
  <w:num w:numId="1">
    <w:abstractNumId w:val="12"/>
  </w:num>
  <w:num w:numId="2">
    <w:abstractNumId w:val="18"/>
  </w:num>
  <w:num w:numId="3">
    <w:abstractNumId w:val="21"/>
  </w:num>
  <w:num w:numId="4">
    <w:abstractNumId w:val="1"/>
  </w:num>
  <w:num w:numId="5">
    <w:abstractNumId w:val="16"/>
  </w:num>
  <w:num w:numId="6">
    <w:abstractNumId w:val="17"/>
  </w:num>
  <w:num w:numId="7">
    <w:abstractNumId w:val="10"/>
  </w:num>
  <w:num w:numId="8">
    <w:abstractNumId w:val="19"/>
  </w:num>
  <w:num w:numId="9">
    <w:abstractNumId w:val="11"/>
  </w:num>
  <w:num w:numId="10">
    <w:abstractNumId w:val="9"/>
  </w:num>
  <w:num w:numId="11">
    <w:abstractNumId w:val="4"/>
  </w:num>
  <w:num w:numId="12">
    <w:abstractNumId w:val="8"/>
  </w:num>
  <w:num w:numId="13">
    <w:abstractNumId w:val="20"/>
  </w:num>
  <w:num w:numId="14">
    <w:abstractNumId w:val="2"/>
  </w:num>
  <w:num w:numId="15">
    <w:abstractNumId w:val="3"/>
  </w:num>
  <w:num w:numId="16">
    <w:abstractNumId w:val="6"/>
  </w:num>
  <w:num w:numId="17">
    <w:abstractNumId w:val="13"/>
  </w:num>
  <w:num w:numId="18">
    <w:abstractNumId w:val="0"/>
  </w:num>
  <w:num w:numId="19">
    <w:abstractNumId w:val="15"/>
  </w:num>
  <w:num w:numId="20">
    <w:abstractNumId w:val="7"/>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50CAB9"/>
    <w:rsid w:val="003F2790"/>
    <w:rsid w:val="0088323C"/>
    <w:rsid w:val="00E37675"/>
    <w:rsid w:val="00E87639"/>
    <w:rsid w:val="0118C2AD"/>
    <w:rsid w:val="013CAFA0"/>
    <w:rsid w:val="019F77B4"/>
    <w:rsid w:val="025DD1C2"/>
    <w:rsid w:val="03188C1B"/>
    <w:rsid w:val="035B62FE"/>
    <w:rsid w:val="03A6ECFF"/>
    <w:rsid w:val="03DEB925"/>
    <w:rsid w:val="04C6F607"/>
    <w:rsid w:val="05698E37"/>
    <w:rsid w:val="0648F55B"/>
    <w:rsid w:val="0660E4DA"/>
    <w:rsid w:val="06612E7A"/>
    <w:rsid w:val="067EB470"/>
    <w:rsid w:val="06D532AF"/>
    <w:rsid w:val="074A075B"/>
    <w:rsid w:val="076E7362"/>
    <w:rsid w:val="07822AF1"/>
    <w:rsid w:val="07AA85A1"/>
    <w:rsid w:val="0874E5DB"/>
    <w:rsid w:val="094F3CD2"/>
    <w:rsid w:val="0966C4EB"/>
    <w:rsid w:val="0973E4C0"/>
    <w:rsid w:val="0A00CD6B"/>
    <w:rsid w:val="0A0BB8FB"/>
    <w:rsid w:val="0A8812B9"/>
    <w:rsid w:val="0ACEEED7"/>
    <w:rsid w:val="0B397E9F"/>
    <w:rsid w:val="0BA870A4"/>
    <w:rsid w:val="0BE3279C"/>
    <w:rsid w:val="0C7F3805"/>
    <w:rsid w:val="0CC58B42"/>
    <w:rsid w:val="0D1356C8"/>
    <w:rsid w:val="0D509148"/>
    <w:rsid w:val="0E7265BA"/>
    <w:rsid w:val="0E8422B1"/>
    <w:rsid w:val="0F060523"/>
    <w:rsid w:val="0FB07AB3"/>
    <w:rsid w:val="0FC806FD"/>
    <w:rsid w:val="104A3463"/>
    <w:rsid w:val="10B2CF4B"/>
    <w:rsid w:val="10CF4686"/>
    <w:rsid w:val="10F0962E"/>
    <w:rsid w:val="1159EED9"/>
    <w:rsid w:val="117DCEBA"/>
    <w:rsid w:val="118E1029"/>
    <w:rsid w:val="11B1FBA3"/>
    <w:rsid w:val="11D12F0B"/>
    <w:rsid w:val="11EEEE70"/>
    <w:rsid w:val="122C1926"/>
    <w:rsid w:val="1294DDF7"/>
    <w:rsid w:val="131526C9"/>
    <w:rsid w:val="13881C7E"/>
    <w:rsid w:val="14025B08"/>
    <w:rsid w:val="14180046"/>
    <w:rsid w:val="1432EF22"/>
    <w:rsid w:val="144537BC"/>
    <w:rsid w:val="14670416"/>
    <w:rsid w:val="14FE5A74"/>
    <w:rsid w:val="15096A63"/>
    <w:rsid w:val="156B1372"/>
    <w:rsid w:val="16C95B65"/>
    <w:rsid w:val="17E788C9"/>
    <w:rsid w:val="1809653D"/>
    <w:rsid w:val="182E14CB"/>
    <w:rsid w:val="18563CE2"/>
    <w:rsid w:val="18692EB9"/>
    <w:rsid w:val="1870AE20"/>
    <w:rsid w:val="188A1697"/>
    <w:rsid w:val="18B76890"/>
    <w:rsid w:val="18E1F1E9"/>
    <w:rsid w:val="190FD26E"/>
    <w:rsid w:val="19C7DD4E"/>
    <w:rsid w:val="19F50A28"/>
    <w:rsid w:val="1A02BE85"/>
    <w:rsid w:val="1A07B284"/>
    <w:rsid w:val="1AEE2BB1"/>
    <w:rsid w:val="1AF542B1"/>
    <w:rsid w:val="1AFD1A1C"/>
    <w:rsid w:val="1C07DC52"/>
    <w:rsid w:val="1C8C818D"/>
    <w:rsid w:val="1CB2E7BA"/>
    <w:rsid w:val="1D2D0965"/>
    <w:rsid w:val="1D3EFC0A"/>
    <w:rsid w:val="1D57B188"/>
    <w:rsid w:val="1DF86032"/>
    <w:rsid w:val="1E2D641E"/>
    <w:rsid w:val="1F372D06"/>
    <w:rsid w:val="203D29B7"/>
    <w:rsid w:val="2045F6E9"/>
    <w:rsid w:val="20890888"/>
    <w:rsid w:val="209DE346"/>
    <w:rsid w:val="20A01EA7"/>
    <w:rsid w:val="20C8AC62"/>
    <w:rsid w:val="20DAE532"/>
    <w:rsid w:val="2156C91E"/>
    <w:rsid w:val="216248DF"/>
    <w:rsid w:val="216FAC69"/>
    <w:rsid w:val="21843377"/>
    <w:rsid w:val="2299101A"/>
    <w:rsid w:val="235C7AC9"/>
    <w:rsid w:val="238CF662"/>
    <w:rsid w:val="23A070C1"/>
    <w:rsid w:val="23F7423F"/>
    <w:rsid w:val="241B6A25"/>
    <w:rsid w:val="2473CA5C"/>
    <w:rsid w:val="249F59D7"/>
    <w:rsid w:val="24FEA363"/>
    <w:rsid w:val="2535AB6B"/>
    <w:rsid w:val="253F79BF"/>
    <w:rsid w:val="25BCD89E"/>
    <w:rsid w:val="25FCE968"/>
    <w:rsid w:val="260BF257"/>
    <w:rsid w:val="269ED003"/>
    <w:rsid w:val="26A30FBD"/>
    <w:rsid w:val="26F0F11B"/>
    <w:rsid w:val="27144BAF"/>
    <w:rsid w:val="2767C271"/>
    <w:rsid w:val="27F011CB"/>
    <w:rsid w:val="27FD327D"/>
    <w:rsid w:val="2847AB7A"/>
    <w:rsid w:val="28FDDAC0"/>
    <w:rsid w:val="29994C03"/>
    <w:rsid w:val="299CC228"/>
    <w:rsid w:val="29D56AB6"/>
    <w:rsid w:val="2A0D627F"/>
    <w:rsid w:val="2ABD13B1"/>
    <w:rsid w:val="2AEFA868"/>
    <w:rsid w:val="2B0541CF"/>
    <w:rsid w:val="2BE8AAB5"/>
    <w:rsid w:val="2C5FDDC8"/>
    <w:rsid w:val="2CFD329B"/>
    <w:rsid w:val="2E208757"/>
    <w:rsid w:val="2EE4577E"/>
    <w:rsid w:val="2F248DB0"/>
    <w:rsid w:val="2F6EA387"/>
    <w:rsid w:val="304AFC9C"/>
    <w:rsid w:val="305F0768"/>
    <w:rsid w:val="31320DCC"/>
    <w:rsid w:val="3150CAB9"/>
    <w:rsid w:val="316E5D8C"/>
    <w:rsid w:val="31FA5A83"/>
    <w:rsid w:val="321F0ACC"/>
    <w:rsid w:val="326E484B"/>
    <w:rsid w:val="32943615"/>
    <w:rsid w:val="33CC1F96"/>
    <w:rsid w:val="347A6BDE"/>
    <w:rsid w:val="35749A32"/>
    <w:rsid w:val="358AB0D7"/>
    <w:rsid w:val="35B05613"/>
    <w:rsid w:val="363591A8"/>
    <w:rsid w:val="36B6C741"/>
    <w:rsid w:val="36F3F2E0"/>
    <w:rsid w:val="387649FF"/>
    <w:rsid w:val="38AC6363"/>
    <w:rsid w:val="395629D2"/>
    <w:rsid w:val="3A8B5155"/>
    <w:rsid w:val="3AD4981D"/>
    <w:rsid w:val="3AFFCDCB"/>
    <w:rsid w:val="3B79C018"/>
    <w:rsid w:val="3B9AA42B"/>
    <w:rsid w:val="3BD66AAE"/>
    <w:rsid w:val="3C01C9F2"/>
    <w:rsid w:val="3C19A06F"/>
    <w:rsid w:val="3C8F47F6"/>
    <w:rsid w:val="3CB0014A"/>
    <w:rsid w:val="3D1F56CB"/>
    <w:rsid w:val="3D330279"/>
    <w:rsid w:val="3D892FE9"/>
    <w:rsid w:val="3DC6D228"/>
    <w:rsid w:val="3E5F4FF7"/>
    <w:rsid w:val="3E954E3E"/>
    <w:rsid w:val="3E9824E3"/>
    <w:rsid w:val="3EC61EDC"/>
    <w:rsid w:val="3F185684"/>
    <w:rsid w:val="3F5F2085"/>
    <w:rsid w:val="3F63E770"/>
    <w:rsid w:val="3FF2FA70"/>
    <w:rsid w:val="40591391"/>
    <w:rsid w:val="40A910B9"/>
    <w:rsid w:val="40EAC27E"/>
    <w:rsid w:val="41A832A6"/>
    <w:rsid w:val="43026C4E"/>
    <w:rsid w:val="43A56687"/>
    <w:rsid w:val="43B7FA22"/>
    <w:rsid w:val="43EE6B7D"/>
    <w:rsid w:val="44289529"/>
    <w:rsid w:val="447472D1"/>
    <w:rsid w:val="449BFAC4"/>
    <w:rsid w:val="449DA3FE"/>
    <w:rsid w:val="44A4CFFB"/>
    <w:rsid w:val="450038F4"/>
    <w:rsid w:val="459B0E39"/>
    <w:rsid w:val="45C59240"/>
    <w:rsid w:val="45DBB70F"/>
    <w:rsid w:val="4676F55D"/>
    <w:rsid w:val="46AC0AB4"/>
    <w:rsid w:val="46FFC2D5"/>
    <w:rsid w:val="474100B3"/>
    <w:rsid w:val="47BC5869"/>
    <w:rsid w:val="47FD6D01"/>
    <w:rsid w:val="48755EDF"/>
    <w:rsid w:val="48B25685"/>
    <w:rsid w:val="48C17AAE"/>
    <w:rsid w:val="49495F5D"/>
    <w:rsid w:val="49569176"/>
    <w:rsid w:val="49A5ADC2"/>
    <w:rsid w:val="49F46568"/>
    <w:rsid w:val="4AE7C5AF"/>
    <w:rsid w:val="4B01EFA4"/>
    <w:rsid w:val="4B38E942"/>
    <w:rsid w:val="4B822907"/>
    <w:rsid w:val="4B9F796D"/>
    <w:rsid w:val="4BCAABB6"/>
    <w:rsid w:val="4C001355"/>
    <w:rsid w:val="4C3D7515"/>
    <w:rsid w:val="4CA63319"/>
    <w:rsid w:val="4CE29417"/>
    <w:rsid w:val="4D418BA2"/>
    <w:rsid w:val="4D806762"/>
    <w:rsid w:val="4E3AD58D"/>
    <w:rsid w:val="4E8AEAFC"/>
    <w:rsid w:val="4E8E1849"/>
    <w:rsid w:val="4E9A9D94"/>
    <w:rsid w:val="4EE614EA"/>
    <w:rsid w:val="4FA0ECAF"/>
    <w:rsid w:val="5104C832"/>
    <w:rsid w:val="510958A9"/>
    <w:rsid w:val="51B7EA6C"/>
    <w:rsid w:val="51B89431"/>
    <w:rsid w:val="51F37B00"/>
    <w:rsid w:val="52394234"/>
    <w:rsid w:val="53FA119C"/>
    <w:rsid w:val="540C7551"/>
    <w:rsid w:val="540FA623"/>
    <w:rsid w:val="54127C34"/>
    <w:rsid w:val="543256F3"/>
    <w:rsid w:val="547DC5F2"/>
    <w:rsid w:val="54A94387"/>
    <w:rsid w:val="55D81EC1"/>
    <w:rsid w:val="5655CA07"/>
    <w:rsid w:val="56D829AE"/>
    <w:rsid w:val="56F7567C"/>
    <w:rsid w:val="5724BAA9"/>
    <w:rsid w:val="57BDA62E"/>
    <w:rsid w:val="58F3CBB2"/>
    <w:rsid w:val="5933CD29"/>
    <w:rsid w:val="5A14E162"/>
    <w:rsid w:val="5A3C7A07"/>
    <w:rsid w:val="5BBC8FE6"/>
    <w:rsid w:val="5BE23FE1"/>
    <w:rsid w:val="5C254216"/>
    <w:rsid w:val="5C2DB837"/>
    <w:rsid w:val="5D5F68C4"/>
    <w:rsid w:val="5DA693E8"/>
    <w:rsid w:val="5DD77ACE"/>
    <w:rsid w:val="5E061910"/>
    <w:rsid w:val="5E9F34B0"/>
    <w:rsid w:val="5F01F65E"/>
    <w:rsid w:val="5F9796F0"/>
    <w:rsid w:val="5FA1F6CC"/>
    <w:rsid w:val="5FCA4F5A"/>
    <w:rsid w:val="5FF3A2AC"/>
    <w:rsid w:val="601AD163"/>
    <w:rsid w:val="6021A8A6"/>
    <w:rsid w:val="60276F3C"/>
    <w:rsid w:val="60621C88"/>
    <w:rsid w:val="6077E02C"/>
    <w:rsid w:val="60BB34F9"/>
    <w:rsid w:val="612FA453"/>
    <w:rsid w:val="6167C86A"/>
    <w:rsid w:val="6169C608"/>
    <w:rsid w:val="621CBC34"/>
    <w:rsid w:val="6227D7BD"/>
    <w:rsid w:val="622F3EF4"/>
    <w:rsid w:val="62A7590D"/>
    <w:rsid w:val="62F97C88"/>
    <w:rsid w:val="6361E2FE"/>
    <w:rsid w:val="638A4376"/>
    <w:rsid w:val="64052461"/>
    <w:rsid w:val="649703AD"/>
    <w:rsid w:val="64C151FB"/>
    <w:rsid w:val="6575989B"/>
    <w:rsid w:val="657B895E"/>
    <w:rsid w:val="65A3C8FF"/>
    <w:rsid w:val="66F5AA94"/>
    <w:rsid w:val="67548846"/>
    <w:rsid w:val="6761819C"/>
    <w:rsid w:val="678CE505"/>
    <w:rsid w:val="67B8E3CF"/>
    <w:rsid w:val="67BE2E2E"/>
    <w:rsid w:val="67E423A0"/>
    <w:rsid w:val="6800F6B5"/>
    <w:rsid w:val="680F2BBA"/>
    <w:rsid w:val="68A8D7DF"/>
    <w:rsid w:val="6952D887"/>
    <w:rsid w:val="69CAF973"/>
    <w:rsid w:val="69EE5265"/>
    <w:rsid w:val="69F6690F"/>
    <w:rsid w:val="6A9848D3"/>
    <w:rsid w:val="6B7BC45E"/>
    <w:rsid w:val="6BC8B9C0"/>
    <w:rsid w:val="6C010C13"/>
    <w:rsid w:val="6C0764AD"/>
    <w:rsid w:val="6C75D910"/>
    <w:rsid w:val="6D476848"/>
    <w:rsid w:val="6DA7DB2B"/>
    <w:rsid w:val="6E584BA4"/>
    <w:rsid w:val="6EB1B1CD"/>
    <w:rsid w:val="6FDA8087"/>
    <w:rsid w:val="706836E0"/>
    <w:rsid w:val="70B4AF3A"/>
    <w:rsid w:val="7117FF26"/>
    <w:rsid w:val="7154F2E6"/>
    <w:rsid w:val="7170AD21"/>
    <w:rsid w:val="71ADE673"/>
    <w:rsid w:val="71CC5EC1"/>
    <w:rsid w:val="7219FAC0"/>
    <w:rsid w:val="72487D35"/>
    <w:rsid w:val="72AC3EC1"/>
    <w:rsid w:val="72B3C9E5"/>
    <w:rsid w:val="72C24F92"/>
    <w:rsid w:val="72FB3FF7"/>
    <w:rsid w:val="73373A5C"/>
    <w:rsid w:val="735B6536"/>
    <w:rsid w:val="73D309E6"/>
    <w:rsid w:val="742D2838"/>
    <w:rsid w:val="747512D5"/>
    <w:rsid w:val="74BCB3E6"/>
    <w:rsid w:val="75339660"/>
    <w:rsid w:val="7617DD70"/>
    <w:rsid w:val="7625F715"/>
    <w:rsid w:val="7669782B"/>
    <w:rsid w:val="767A7BB3"/>
    <w:rsid w:val="768AFDE0"/>
    <w:rsid w:val="769AFFCB"/>
    <w:rsid w:val="76B147EF"/>
    <w:rsid w:val="76D02F21"/>
    <w:rsid w:val="76E9026C"/>
    <w:rsid w:val="76EE9605"/>
    <w:rsid w:val="777CA953"/>
    <w:rsid w:val="77AEA886"/>
    <w:rsid w:val="77CC3730"/>
    <w:rsid w:val="77D1BC54"/>
    <w:rsid w:val="77F71444"/>
    <w:rsid w:val="781316F9"/>
    <w:rsid w:val="7884E548"/>
    <w:rsid w:val="78B0A007"/>
    <w:rsid w:val="793B754A"/>
    <w:rsid w:val="7992B7D3"/>
    <w:rsid w:val="79C3E1B8"/>
    <w:rsid w:val="7A1CC3A2"/>
    <w:rsid w:val="7A70E0D0"/>
    <w:rsid w:val="7A7773BC"/>
    <w:rsid w:val="7B852278"/>
    <w:rsid w:val="7BA85866"/>
    <w:rsid w:val="7BD26CE2"/>
    <w:rsid w:val="7C0ACB02"/>
    <w:rsid w:val="7C6615A6"/>
    <w:rsid w:val="7CB95576"/>
    <w:rsid w:val="7D324CF6"/>
    <w:rsid w:val="7D661F47"/>
    <w:rsid w:val="7D69F3F3"/>
    <w:rsid w:val="7D759DFE"/>
    <w:rsid w:val="7E6DB448"/>
    <w:rsid w:val="7E81C4C8"/>
    <w:rsid w:val="7ED7FC96"/>
    <w:rsid w:val="7EEDFB78"/>
    <w:rsid w:val="7FD8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CAB9"/>
  <w15:chartTrackingRefBased/>
  <w15:docId w15:val="{761A4624-6DA4-4083-A985-6FCB23D9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cj-kenya.org" TargetMode="External"/><Relationship Id="R3dbd3b378d594e07"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instruments-mechanisms/international-human-rights-instruments/international-covenant-economic-social-and-cultural-rights" TargetMode="External"/><Relationship Id="rId13" Type="http://schemas.openxmlformats.org/officeDocument/2006/relationships/hyperlink" Target="https://equalizationfund.go.ke/mandate" TargetMode="External"/><Relationship Id="rId18" Type="http://schemas.openxmlformats.org/officeDocument/2006/relationships/hyperlink" Target="https://new.kenyalaw.org/akn/ke/judgment/kehc/2024/10886/eng@2024-09-20" TargetMode="External"/><Relationship Id="rId3" Type="http://schemas.openxmlformats.org/officeDocument/2006/relationships/hyperlink" Target="https://www.planning.go.ke/induction-of-the-national-government-constituencies-development-fund-ng-cdf-board-mombasa-26th-october-2023/" TargetMode="External"/><Relationship Id="rId7" Type="http://schemas.openxmlformats.org/officeDocument/2006/relationships/hyperlink" Target="https://www.unodc.org/unodc/en/corruption/convention.html" TargetMode="External"/><Relationship Id="rId12" Type="http://schemas.openxmlformats.org/officeDocument/2006/relationships/hyperlink" Target="https://kippra.or.ke/enhancing-the-implementation-of-the-equalization-fund-in-kenya/" TargetMode="External"/><Relationship Id="rId17" Type="http://schemas.openxmlformats.org/officeDocument/2006/relationships/hyperlink" Target="https://new.kenyalaw.org/akn/ke/judgment/kesc/2020/65/eng@2020-05-15" TargetMode="External"/><Relationship Id="rId2" Type="http://schemas.openxmlformats.org/officeDocument/2006/relationships/hyperlink" Target="https://www.treasury.go.ke/prof-ndungu-underscores-the-importance-cdf-in-development/" TargetMode="External"/><Relationship Id="rId16" Type="http://schemas.openxmlformats.org/officeDocument/2006/relationships/hyperlink" Target="https://www.osce.org/files/f/documents/a/3/558321_3.pdf" TargetMode="External"/><Relationship Id="rId1" Type="http://schemas.openxmlformats.org/officeDocument/2006/relationships/hyperlink" Target="https://www.the-star.co.ke/news/2024-07-08-kra-collects-sh24-trillion-in-revenue-for-financial-year-2023-24" TargetMode="External"/><Relationship Id="rId6" Type="http://schemas.openxmlformats.org/officeDocument/2006/relationships/hyperlink" Target="https://au.int/en/treaties/african-charter-human-and-peoples-rights" TargetMode="External"/><Relationship Id="rId11" Type="http://schemas.openxmlformats.org/officeDocument/2006/relationships/hyperlink" Target="https://ngcdf.go.ke/about-us/" TargetMode="External"/><Relationship Id="rId5" Type="http://schemas.openxmlformats.org/officeDocument/2006/relationships/hyperlink" Target="https://constitutionnet.org/sites/default/files/public_finance_under_kenya_new_constitution-wp5.pdf" TargetMode="External"/><Relationship Id="rId15" Type="http://schemas.openxmlformats.org/officeDocument/2006/relationships/hyperlink" Target="https://new.kenyalaw.org/akn/ke/judgment/keelc/2020/3929/eng@2020-01-16" TargetMode="External"/><Relationship Id="rId10" Type="http://schemas.openxmlformats.org/officeDocument/2006/relationships/hyperlink" Target="https://new.kenyalaw.org/akn/ke/act/2015/30/eng@2023-12-29" TargetMode="External"/><Relationship Id="rId4" Type="http://schemas.openxmlformats.org/officeDocument/2006/relationships/hyperlink" Target="https://new.kenyalaw.org/akn/ke/act/2015/30/eng@2023-12-29" TargetMode="External"/><Relationship Id="rId9" Type="http://schemas.openxmlformats.org/officeDocument/2006/relationships/hyperlink" Target="https://kenya.un.org/en/sdgs" TargetMode="External"/><Relationship Id="rId14" Type="http://schemas.openxmlformats.org/officeDocument/2006/relationships/hyperlink" Target="https://new.kenyalaw.org/akn/ke/judgment/kehc/2015/6975/eng@2015-0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3919</Words>
  <Characters>22342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Monari</dc:creator>
  <cp:keywords/>
  <dc:description/>
  <cp:lastModifiedBy>Beatrice Monari</cp:lastModifiedBy>
  <cp:revision>2</cp:revision>
  <dcterms:created xsi:type="dcterms:W3CDTF">2025-01-17T12:35:00Z</dcterms:created>
  <dcterms:modified xsi:type="dcterms:W3CDTF">2025-01-17T12:35:00Z</dcterms:modified>
</cp:coreProperties>
</file>